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925A" w14:textId="2FD2BF40" w:rsidR="00D862A7" w:rsidRDefault="35C63A43" w:rsidP="33E9CB55">
      <w:pPr>
        <w:spacing w:after="0" w:line="240" w:lineRule="auto"/>
        <w:jc w:val="center"/>
        <w:rPr>
          <w:rFonts w:ascii="Arial" w:hAnsi="Arial" w:cs="Arial"/>
          <w:b/>
          <w:bCs/>
          <w:sz w:val="24"/>
          <w:szCs w:val="24"/>
        </w:rPr>
      </w:pPr>
      <w:r w:rsidRPr="33E9CB55">
        <w:rPr>
          <w:rFonts w:ascii="Arial" w:hAnsi="Arial" w:cs="Arial"/>
          <w:b/>
          <w:bCs/>
          <w:sz w:val="24"/>
          <w:szCs w:val="24"/>
        </w:rPr>
        <w:t>Sch</w:t>
      </w:r>
      <w:r w:rsidR="5174182C" w:rsidRPr="33E9CB55">
        <w:rPr>
          <w:rFonts w:ascii="Arial" w:hAnsi="Arial" w:cs="Arial"/>
          <w:b/>
          <w:bCs/>
          <w:sz w:val="24"/>
          <w:szCs w:val="24"/>
        </w:rPr>
        <w:t>e</w:t>
      </w:r>
      <w:r w:rsidRPr="33E9CB55">
        <w:rPr>
          <w:rFonts w:ascii="Arial" w:hAnsi="Arial" w:cs="Arial"/>
          <w:b/>
          <w:bCs/>
          <w:sz w:val="24"/>
          <w:szCs w:val="24"/>
        </w:rPr>
        <w:t xml:space="preserve">dule of </w:t>
      </w:r>
      <w:r w:rsidR="4ECE2897" w:rsidRPr="33E9CB55">
        <w:rPr>
          <w:rFonts w:ascii="Arial" w:hAnsi="Arial" w:cs="Arial"/>
          <w:b/>
          <w:bCs/>
          <w:sz w:val="24"/>
          <w:szCs w:val="24"/>
        </w:rPr>
        <w:t xml:space="preserve">Matters Reserved </w:t>
      </w:r>
      <w:r w:rsidR="48679233" w:rsidRPr="33E9CB55">
        <w:rPr>
          <w:rFonts w:ascii="Arial" w:hAnsi="Arial" w:cs="Arial"/>
          <w:b/>
          <w:bCs/>
          <w:sz w:val="24"/>
          <w:szCs w:val="24"/>
        </w:rPr>
        <w:t>to</w:t>
      </w:r>
      <w:r w:rsidR="4ECE2897" w:rsidRPr="33E9CB55">
        <w:rPr>
          <w:rFonts w:ascii="Arial" w:hAnsi="Arial" w:cs="Arial"/>
          <w:b/>
          <w:bCs/>
          <w:sz w:val="24"/>
          <w:szCs w:val="24"/>
        </w:rPr>
        <w:t xml:space="preserve"> the Board</w:t>
      </w:r>
      <w:r w:rsidR="2165D6C7" w:rsidRPr="33E9CB55">
        <w:rPr>
          <w:rFonts w:ascii="Arial" w:hAnsi="Arial" w:cs="Arial"/>
          <w:b/>
          <w:bCs/>
          <w:sz w:val="24"/>
          <w:szCs w:val="24"/>
        </w:rPr>
        <w:t xml:space="preserve"> of</w:t>
      </w:r>
      <w:r w:rsidR="48679233" w:rsidRPr="33E9CB55">
        <w:rPr>
          <w:rFonts w:ascii="Arial" w:hAnsi="Arial" w:cs="Arial"/>
          <w:b/>
          <w:bCs/>
          <w:sz w:val="24"/>
          <w:szCs w:val="24"/>
        </w:rPr>
        <w:t xml:space="preserve"> </w:t>
      </w:r>
    </w:p>
    <w:p w14:paraId="49EBF60A" w14:textId="1FC341DB" w:rsidR="007E27A7" w:rsidRPr="009745C0" w:rsidRDefault="00B62E31" w:rsidP="0030117C">
      <w:pPr>
        <w:spacing w:after="0" w:line="240" w:lineRule="auto"/>
        <w:ind w:right="-188"/>
        <w:jc w:val="center"/>
        <w:rPr>
          <w:rFonts w:ascii="Arial" w:hAnsi="Arial" w:cs="Arial"/>
          <w:b/>
          <w:sz w:val="24"/>
          <w:szCs w:val="24"/>
        </w:rPr>
      </w:pPr>
      <w:r w:rsidRPr="009745C0">
        <w:rPr>
          <w:rFonts w:ascii="Arial" w:hAnsi="Arial" w:cs="Arial"/>
          <w:b/>
          <w:sz w:val="24"/>
          <w:szCs w:val="24"/>
        </w:rPr>
        <w:t xml:space="preserve">IG Group Holdings </w:t>
      </w:r>
      <w:r w:rsidR="00BE3D34">
        <w:rPr>
          <w:rFonts w:ascii="Arial" w:hAnsi="Arial" w:cs="Arial"/>
          <w:b/>
          <w:sz w:val="24"/>
          <w:szCs w:val="24"/>
        </w:rPr>
        <w:t>p</w:t>
      </w:r>
      <w:r w:rsidRPr="009745C0">
        <w:rPr>
          <w:rFonts w:ascii="Arial" w:hAnsi="Arial" w:cs="Arial"/>
          <w:b/>
          <w:sz w:val="24"/>
          <w:szCs w:val="24"/>
        </w:rPr>
        <w:t>lc</w:t>
      </w:r>
      <w:r w:rsidR="00C06AA4" w:rsidRPr="009745C0">
        <w:rPr>
          <w:rFonts w:ascii="Arial" w:hAnsi="Arial" w:cs="Arial"/>
          <w:b/>
          <w:sz w:val="24"/>
          <w:szCs w:val="24"/>
        </w:rPr>
        <w:t xml:space="preserve"> </w:t>
      </w:r>
    </w:p>
    <w:p w14:paraId="6A5B43F5" w14:textId="77777777" w:rsidR="00167FDB" w:rsidRPr="009745C0" w:rsidRDefault="00B62E31" w:rsidP="009CC600">
      <w:pPr>
        <w:spacing w:after="0" w:line="240" w:lineRule="auto"/>
        <w:jc w:val="center"/>
        <w:rPr>
          <w:rFonts w:ascii="Arial" w:hAnsi="Arial" w:cs="Arial"/>
          <w:b/>
          <w:bCs/>
          <w:sz w:val="24"/>
          <w:szCs w:val="24"/>
        </w:rPr>
      </w:pPr>
      <w:r w:rsidRPr="2BE163B1">
        <w:rPr>
          <w:rFonts w:ascii="Arial" w:hAnsi="Arial" w:cs="Arial"/>
          <w:b/>
          <w:bCs/>
          <w:sz w:val="24"/>
          <w:szCs w:val="24"/>
        </w:rPr>
        <w:t>(the “Company”)</w:t>
      </w:r>
    </w:p>
    <w:p w14:paraId="0A37501D" w14:textId="77777777" w:rsidR="007E27A7" w:rsidRPr="009745C0" w:rsidRDefault="007E27A7" w:rsidP="007E27A7">
      <w:pPr>
        <w:spacing w:after="0" w:line="240" w:lineRule="auto"/>
        <w:jc w:val="center"/>
        <w:rPr>
          <w:rFonts w:ascii="Arial" w:hAnsi="Arial" w:cs="Arial"/>
          <w:b/>
          <w:sz w:val="24"/>
          <w:szCs w:val="24"/>
        </w:rPr>
      </w:pPr>
    </w:p>
    <w:p w14:paraId="3696C300" w14:textId="77777777" w:rsidR="00912DD5" w:rsidRPr="0030117C" w:rsidRDefault="00912DD5" w:rsidP="00A86359">
      <w:pPr>
        <w:jc w:val="both"/>
        <w:rPr>
          <w:rFonts w:ascii="Arial" w:hAnsi="Arial" w:cs="Arial"/>
        </w:rPr>
      </w:pPr>
      <w:r w:rsidRPr="0030117C">
        <w:rPr>
          <w:rFonts w:ascii="Arial" w:hAnsi="Arial" w:cs="Arial"/>
        </w:rPr>
        <w:t>References in this document to ‘the Group’ shall mean all companies in the IG Group Holdings plc group of companies.</w:t>
      </w:r>
    </w:p>
    <w:p w14:paraId="0378443A" w14:textId="5114552C" w:rsidR="000B6D47" w:rsidRPr="0030117C" w:rsidRDefault="000B6D47" w:rsidP="00A86359">
      <w:pPr>
        <w:jc w:val="both"/>
        <w:rPr>
          <w:rFonts w:ascii="Arial" w:hAnsi="Arial" w:cs="Arial"/>
        </w:rPr>
      </w:pPr>
      <w:r w:rsidRPr="0030117C">
        <w:rPr>
          <w:rFonts w:ascii="Arial" w:hAnsi="Arial" w:cs="Arial"/>
        </w:rPr>
        <w:t xml:space="preserve">This document sets out the schedule of matters reserved to the Board for </w:t>
      </w:r>
      <w:r w:rsidR="00551811" w:rsidRPr="0030117C">
        <w:rPr>
          <w:rFonts w:ascii="Arial" w:hAnsi="Arial" w:cs="Arial"/>
        </w:rPr>
        <w:t>approval or determination</w:t>
      </w:r>
      <w:r w:rsidRPr="0030117C">
        <w:rPr>
          <w:rFonts w:ascii="Arial" w:hAnsi="Arial" w:cs="Arial"/>
        </w:rPr>
        <w:t xml:space="preserve">.    </w:t>
      </w:r>
    </w:p>
    <w:p w14:paraId="1B4BB133" w14:textId="77777777" w:rsidR="00871008" w:rsidRPr="0030117C" w:rsidRDefault="000B6D47" w:rsidP="00C06AA4">
      <w:pPr>
        <w:jc w:val="both"/>
        <w:rPr>
          <w:rFonts w:ascii="Arial" w:hAnsi="Arial" w:cs="Arial"/>
        </w:rPr>
      </w:pPr>
      <w:r w:rsidRPr="2BE163B1">
        <w:rPr>
          <w:rFonts w:ascii="Arial" w:hAnsi="Arial" w:cs="Arial"/>
        </w:rPr>
        <w:t xml:space="preserve">Should there be any doubt as to whether any matter requires </w:t>
      </w:r>
      <w:r w:rsidR="00815301" w:rsidRPr="2BE163B1">
        <w:rPr>
          <w:rFonts w:ascii="Arial" w:hAnsi="Arial" w:cs="Arial"/>
        </w:rPr>
        <w:t>B</w:t>
      </w:r>
      <w:r w:rsidRPr="2BE163B1">
        <w:rPr>
          <w:rFonts w:ascii="Arial" w:hAnsi="Arial" w:cs="Arial"/>
        </w:rPr>
        <w:t>oard review or approval, decisions on any matter not listed below but likely to have a material impact on the Company or</w:t>
      </w:r>
      <w:r w:rsidR="00912DD5" w:rsidRPr="2BE163B1">
        <w:rPr>
          <w:rFonts w:ascii="Arial" w:hAnsi="Arial" w:cs="Arial"/>
        </w:rPr>
        <w:t xml:space="preserve"> the</w:t>
      </w:r>
      <w:r w:rsidRPr="2BE163B1">
        <w:rPr>
          <w:rFonts w:ascii="Arial" w:hAnsi="Arial" w:cs="Arial"/>
        </w:rPr>
        <w:t xml:space="preserve"> Group from any perspective, including, but not limited to financial, operational, regulatory, strategic or reputational are also reserved for the Board.</w:t>
      </w:r>
      <w:r w:rsidR="00F34555" w:rsidRPr="2BE163B1">
        <w:rPr>
          <w:rFonts w:ascii="Arial" w:hAnsi="Arial" w:cs="Arial"/>
        </w:rPr>
        <w:t xml:space="preserve"> </w:t>
      </w:r>
    </w:p>
    <w:p w14:paraId="7F2D2638" w14:textId="1E33E026" w:rsidR="2BE163B1" w:rsidRDefault="7AD10BF5" w:rsidP="00C40F17">
      <w:pPr>
        <w:jc w:val="both"/>
        <w:rPr>
          <w:rFonts w:ascii="Arial" w:eastAsia="Arial" w:hAnsi="Arial" w:cs="Arial"/>
        </w:rPr>
      </w:pPr>
      <w:r w:rsidRPr="5C450D93">
        <w:rPr>
          <w:rFonts w:ascii="Arial" w:eastAsia="Arial" w:hAnsi="Arial" w:cs="Arial"/>
        </w:rPr>
        <w:t xml:space="preserve">The Articles of Association allow the Board to delegate </w:t>
      </w:r>
      <w:r w:rsidR="45DDC7D5" w:rsidRPr="5C450D93">
        <w:rPr>
          <w:rFonts w:ascii="Arial" w:eastAsia="Arial" w:hAnsi="Arial" w:cs="Arial"/>
        </w:rPr>
        <w:t xml:space="preserve">any of its powers or discretions </w:t>
      </w:r>
      <w:r w:rsidRPr="5C450D93">
        <w:rPr>
          <w:rFonts w:ascii="Arial" w:eastAsia="Arial" w:hAnsi="Arial" w:cs="Arial"/>
        </w:rPr>
        <w:t xml:space="preserve">to a committee. </w:t>
      </w:r>
      <w:r w:rsidR="7E11863E" w:rsidRPr="5C450D93">
        <w:rPr>
          <w:rFonts w:ascii="Arial" w:eastAsia="Arial" w:hAnsi="Arial" w:cs="Arial"/>
        </w:rPr>
        <w:t>D</w:t>
      </w:r>
      <w:r w:rsidRPr="5C450D93">
        <w:rPr>
          <w:rFonts w:ascii="Arial" w:eastAsia="Arial" w:hAnsi="Arial" w:cs="Arial"/>
        </w:rPr>
        <w:t xml:space="preserve">elegated powers </w:t>
      </w:r>
      <w:r w:rsidR="2D9AA958" w:rsidRPr="5C450D93">
        <w:rPr>
          <w:rFonts w:ascii="Arial" w:eastAsia="Arial" w:hAnsi="Arial" w:cs="Arial"/>
        </w:rPr>
        <w:t xml:space="preserve">to formally constituted Board Committees are </w:t>
      </w:r>
      <w:r w:rsidRPr="5C450D93">
        <w:rPr>
          <w:rFonts w:ascii="Arial" w:eastAsia="Arial" w:hAnsi="Arial" w:cs="Arial"/>
        </w:rPr>
        <w:t xml:space="preserve">contained in the terms of reference for the </w:t>
      </w:r>
      <w:r w:rsidR="4B6D9804" w:rsidRPr="60C635A2">
        <w:rPr>
          <w:rFonts w:ascii="Arial" w:eastAsia="Arial" w:hAnsi="Arial" w:cs="Arial"/>
        </w:rPr>
        <w:t xml:space="preserve">Board </w:t>
      </w:r>
      <w:r w:rsidRPr="5C450D93">
        <w:rPr>
          <w:rFonts w:ascii="Arial" w:eastAsia="Arial" w:hAnsi="Arial" w:cs="Arial"/>
        </w:rPr>
        <w:t xml:space="preserve">Standing, </w:t>
      </w:r>
      <w:r w:rsidR="36D83301" w:rsidRPr="5C450D93">
        <w:rPr>
          <w:rFonts w:ascii="Arial" w:eastAsia="Arial" w:hAnsi="Arial" w:cs="Arial"/>
        </w:rPr>
        <w:t xml:space="preserve">Disclosure, </w:t>
      </w:r>
      <w:r w:rsidRPr="5C450D93">
        <w:rPr>
          <w:rFonts w:ascii="Arial" w:eastAsia="Arial" w:hAnsi="Arial" w:cs="Arial"/>
        </w:rPr>
        <w:t xml:space="preserve">Remuneration, Nomination, </w:t>
      </w:r>
      <w:r w:rsidR="3C833B3D" w:rsidRPr="5C450D93">
        <w:rPr>
          <w:rFonts w:ascii="Arial" w:eastAsia="Arial" w:hAnsi="Arial" w:cs="Arial"/>
        </w:rPr>
        <w:t xml:space="preserve">ESG, </w:t>
      </w:r>
      <w:r w:rsidRPr="5C450D93">
        <w:rPr>
          <w:rFonts w:ascii="Arial" w:eastAsia="Arial" w:hAnsi="Arial" w:cs="Arial"/>
        </w:rPr>
        <w:t xml:space="preserve">Audit </w:t>
      </w:r>
      <w:r w:rsidR="46839A44" w:rsidRPr="5C450D93">
        <w:rPr>
          <w:rFonts w:ascii="Arial" w:eastAsia="Arial" w:hAnsi="Arial" w:cs="Arial"/>
        </w:rPr>
        <w:t xml:space="preserve">and </w:t>
      </w:r>
      <w:r w:rsidR="1CD082DE" w:rsidRPr="60C635A2">
        <w:rPr>
          <w:rFonts w:ascii="Arial" w:eastAsia="Arial" w:hAnsi="Arial" w:cs="Arial"/>
        </w:rPr>
        <w:t xml:space="preserve">Board </w:t>
      </w:r>
      <w:r w:rsidR="46839A44" w:rsidRPr="5C450D93">
        <w:rPr>
          <w:rFonts w:ascii="Arial" w:eastAsia="Arial" w:hAnsi="Arial" w:cs="Arial"/>
        </w:rPr>
        <w:t xml:space="preserve">Risk </w:t>
      </w:r>
      <w:r w:rsidRPr="5C450D93">
        <w:rPr>
          <w:rFonts w:ascii="Arial" w:eastAsia="Arial" w:hAnsi="Arial" w:cs="Arial"/>
        </w:rPr>
        <w:t>Committees</w:t>
      </w:r>
      <w:r w:rsidR="3A59FF29" w:rsidRPr="5C450D93">
        <w:rPr>
          <w:rFonts w:ascii="Arial" w:eastAsia="Arial" w:hAnsi="Arial" w:cs="Aria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06"/>
      </w:tblGrid>
      <w:tr w:rsidR="000B6D47" w:rsidRPr="0030117C" w14:paraId="0F226D0A" w14:textId="77777777" w:rsidTr="5C450D93">
        <w:tc>
          <w:tcPr>
            <w:tcW w:w="816" w:type="dxa"/>
          </w:tcPr>
          <w:p w14:paraId="649841BE" w14:textId="77777777" w:rsidR="000B6D47" w:rsidRPr="0030117C" w:rsidRDefault="000B6D47" w:rsidP="003A4A4F">
            <w:pPr>
              <w:spacing w:after="0" w:line="240" w:lineRule="auto"/>
              <w:rPr>
                <w:rFonts w:ascii="Arial" w:hAnsi="Arial" w:cs="Arial"/>
                <w:b/>
              </w:rPr>
            </w:pPr>
            <w:r w:rsidRPr="0030117C">
              <w:rPr>
                <w:rFonts w:ascii="Arial" w:hAnsi="Arial" w:cs="Arial"/>
                <w:b/>
              </w:rPr>
              <w:t>1</w:t>
            </w:r>
          </w:p>
        </w:tc>
        <w:tc>
          <w:tcPr>
            <w:tcW w:w="8506" w:type="dxa"/>
          </w:tcPr>
          <w:p w14:paraId="52AC029B" w14:textId="77777777" w:rsidR="000B6D47" w:rsidRPr="0030117C" w:rsidRDefault="000B6D47" w:rsidP="003A4A4F">
            <w:pPr>
              <w:spacing w:after="0" w:line="240" w:lineRule="auto"/>
              <w:rPr>
                <w:rFonts w:ascii="Arial" w:hAnsi="Arial" w:cs="Arial"/>
                <w:b/>
              </w:rPr>
            </w:pPr>
            <w:r w:rsidRPr="0030117C">
              <w:rPr>
                <w:rFonts w:ascii="Arial" w:hAnsi="Arial" w:cs="Arial"/>
                <w:b/>
              </w:rPr>
              <w:t>Strategy</w:t>
            </w:r>
            <w:r w:rsidR="005944B3" w:rsidRPr="0030117C">
              <w:rPr>
                <w:rFonts w:ascii="Arial" w:hAnsi="Arial" w:cs="Arial"/>
                <w:b/>
              </w:rPr>
              <w:t>,</w:t>
            </w:r>
            <w:r w:rsidRPr="0030117C">
              <w:rPr>
                <w:rFonts w:ascii="Arial" w:hAnsi="Arial" w:cs="Arial"/>
                <w:b/>
              </w:rPr>
              <w:t xml:space="preserve"> </w:t>
            </w:r>
            <w:r w:rsidR="002E266D" w:rsidRPr="0030117C">
              <w:rPr>
                <w:rFonts w:ascii="Arial" w:hAnsi="Arial" w:cs="Arial"/>
                <w:b/>
              </w:rPr>
              <w:t>M</w:t>
            </w:r>
            <w:r w:rsidRPr="0030117C">
              <w:rPr>
                <w:rFonts w:ascii="Arial" w:hAnsi="Arial" w:cs="Arial"/>
                <w:b/>
              </w:rPr>
              <w:t>anagement</w:t>
            </w:r>
            <w:r w:rsidR="005944B3" w:rsidRPr="0030117C">
              <w:rPr>
                <w:rFonts w:ascii="Arial" w:hAnsi="Arial" w:cs="Arial"/>
                <w:b/>
              </w:rPr>
              <w:t xml:space="preserve"> and </w:t>
            </w:r>
            <w:r w:rsidR="002E266D" w:rsidRPr="0030117C">
              <w:rPr>
                <w:rFonts w:ascii="Arial" w:hAnsi="Arial" w:cs="Arial"/>
                <w:b/>
              </w:rPr>
              <w:t>R</w:t>
            </w:r>
            <w:r w:rsidR="005944B3" w:rsidRPr="0030117C">
              <w:rPr>
                <w:rFonts w:ascii="Arial" w:hAnsi="Arial" w:cs="Arial"/>
                <w:b/>
              </w:rPr>
              <w:t>isk</w:t>
            </w:r>
          </w:p>
        </w:tc>
      </w:tr>
      <w:tr w:rsidR="000B6D47" w:rsidRPr="0030117C" w14:paraId="10ECEC25" w14:textId="77777777" w:rsidTr="5C450D93">
        <w:tc>
          <w:tcPr>
            <w:tcW w:w="816" w:type="dxa"/>
          </w:tcPr>
          <w:p w14:paraId="55D8B3B0" w14:textId="77777777" w:rsidR="000B6D47" w:rsidRPr="0030117C" w:rsidRDefault="000B6D47" w:rsidP="003A4A4F">
            <w:pPr>
              <w:spacing w:after="0" w:line="240" w:lineRule="auto"/>
              <w:rPr>
                <w:rFonts w:ascii="Arial" w:hAnsi="Arial" w:cs="Arial"/>
              </w:rPr>
            </w:pPr>
            <w:r w:rsidRPr="0030117C">
              <w:rPr>
                <w:rFonts w:ascii="Arial" w:hAnsi="Arial" w:cs="Arial"/>
              </w:rPr>
              <w:t>1.1</w:t>
            </w:r>
          </w:p>
        </w:tc>
        <w:tc>
          <w:tcPr>
            <w:tcW w:w="8506" w:type="dxa"/>
          </w:tcPr>
          <w:p w14:paraId="3ABC10C4" w14:textId="7F199555" w:rsidR="00D014AA" w:rsidRPr="0030117C" w:rsidRDefault="00C06AA4" w:rsidP="00CF2470">
            <w:pPr>
              <w:spacing w:after="0" w:line="240" w:lineRule="auto"/>
              <w:jc w:val="both"/>
              <w:rPr>
                <w:rFonts w:ascii="Arial" w:hAnsi="Arial" w:cs="Arial"/>
              </w:rPr>
            </w:pPr>
            <w:r w:rsidRPr="00D014AA">
              <w:rPr>
                <w:rFonts w:ascii="Arial" w:hAnsi="Arial" w:cs="Arial"/>
                <w:sz w:val="20"/>
                <w:szCs w:val="20"/>
              </w:rPr>
              <w:t>T</w:t>
            </w:r>
            <w:r w:rsidR="000B6D47" w:rsidRPr="0030117C">
              <w:rPr>
                <w:rFonts w:ascii="Arial" w:hAnsi="Arial" w:cs="Arial"/>
              </w:rPr>
              <w:t xml:space="preserve">he Group’s </w:t>
            </w:r>
            <w:r w:rsidR="0039649E">
              <w:rPr>
                <w:rFonts w:ascii="Arial" w:hAnsi="Arial" w:cs="Arial"/>
              </w:rPr>
              <w:t xml:space="preserve">purpose, </w:t>
            </w:r>
            <w:r w:rsidR="000B6D47" w:rsidRPr="0030117C">
              <w:rPr>
                <w:rFonts w:ascii="Arial" w:hAnsi="Arial" w:cs="Arial"/>
              </w:rPr>
              <w:t>objectives and strategy</w:t>
            </w:r>
            <w:r w:rsidR="00A91792">
              <w:rPr>
                <w:rFonts w:ascii="Arial" w:hAnsi="Arial" w:cs="Arial"/>
              </w:rPr>
              <w:t xml:space="preserve"> in a manner which promotes its long-term sustainable success, generating value for shareholders</w:t>
            </w:r>
            <w:r w:rsidR="007B28E6">
              <w:rPr>
                <w:rFonts w:ascii="Arial" w:hAnsi="Arial" w:cs="Arial"/>
              </w:rPr>
              <w:t xml:space="preserve"> and </w:t>
            </w:r>
            <w:r w:rsidR="00A91792">
              <w:rPr>
                <w:rFonts w:ascii="Arial" w:hAnsi="Arial" w:cs="Arial"/>
              </w:rPr>
              <w:t>contributing to wider society.</w:t>
            </w:r>
          </w:p>
        </w:tc>
      </w:tr>
      <w:tr w:rsidR="000B6D47" w:rsidRPr="0016642B" w14:paraId="49BAC017" w14:textId="77777777" w:rsidTr="5C450D93">
        <w:tc>
          <w:tcPr>
            <w:tcW w:w="816" w:type="dxa"/>
          </w:tcPr>
          <w:p w14:paraId="39D7D509" w14:textId="77777777" w:rsidR="000B6D47" w:rsidRPr="0016642B" w:rsidRDefault="000B6D47" w:rsidP="003A4A4F">
            <w:pPr>
              <w:spacing w:after="0" w:line="240" w:lineRule="auto"/>
              <w:rPr>
                <w:rFonts w:ascii="Arial" w:hAnsi="Arial" w:cs="Arial"/>
              </w:rPr>
            </w:pPr>
            <w:r w:rsidRPr="00D014AA">
              <w:rPr>
                <w:rFonts w:ascii="Arial" w:hAnsi="Arial" w:cs="Arial"/>
                <w:sz w:val="20"/>
                <w:szCs w:val="20"/>
              </w:rPr>
              <w:t>1.</w:t>
            </w:r>
            <w:r w:rsidRPr="0016642B">
              <w:rPr>
                <w:rFonts w:ascii="Arial" w:hAnsi="Arial" w:cs="Arial"/>
              </w:rPr>
              <w:t>2</w:t>
            </w:r>
          </w:p>
        </w:tc>
        <w:tc>
          <w:tcPr>
            <w:tcW w:w="8506" w:type="dxa"/>
          </w:tcPr>
          <w:p w14:paraId="5E4B5837" w14:textId="77777777" w:rsidR="000B6D47" w:rsidRPr="0016642B" w:rsidRDefault="00C06AA4" w:rsidP="00CF2470">
            <w:pPr>
              <w:spacing w:after="0" w:line="240" w:lineRule="auto"/>
              <w:jc w:val="both"/>
              <w:rPr>
                <w:rFonts w:ascii="Arial" w:hAnsi="Arial" w:cs="Arial"/>
              </w:rPr>
            </w:pPr>
            <w:r w:rsidRPr="0016642B">
              <w:rPr>
                <w:rFonts w:ascii="Arial" w:hAnsi="Arial" w:cs="Arial"/>
              </w:rPr>
              <w:t>T</w:t>
            </w:r>
            <w:r w:rsidR="000B6D47" w:rsidRPr="0016642B">
              <w:rPr>
                <w:rFonts w:ascii="Arial" w:hAnsi="Arial" w:cs="Arial"/>
              </w:rPr>
              <w:t xml:space="preserve">he </w:t>
            </w:r>
            <w:r w:rsidRPr="0016642B">
              <w:rPr>
                <w:rFonts w:ascii="Arial" w:hAnsi="Arial" w:cs="Arial"/>
              </w:rPr>
              <w:t xml:space="preserve">annual budget, </w:t>
            </w:r>
            <w:r w:rsidR="000B6D47" w:rsidRPr="0016642B">
              <w:rPr>
                <w:rFonts w:ascii="Arial" w:hAnsi="Arial" w:cs="Arial"/>
              </w:rPr>
              <w:t>four</w:t>
            </w:r>
            <w:r w:rsidR="002E266D" w:rsidRPr="0016642B">
              <w:rPr>
                <w:rFonts w:ascii="Arial" w:hAnsi="Arial" w:cs="Arial"/>
              </w:rPr>
              <w:t>-</w:t>
            </w:r>
            <w:r w:rsidR="000B6D47" w:rsidRPr="0016642B">
              <w:rPr>
                <w:rFonts w:ascii="Arial" w:hAnsi="Arial" w:cs="Arial"/>
              </w:rPr>
              <w:t>year strat</w:t>
            </w:r>
            <w:r w:rsidR="00E02430" w:rsidRPr="0016642B">
              <w:rPr>
                <w:rFonts w:ascii="Arial" w:hAnsi="Arial" w:cs="Arial"/>
              </w:rPr>
              <w:t>e</w:t>
            </w:r>
            <w:r w:rsidR="000B6D47" w:rsidRPr="0016642B">
              <w:rPr>
                <w:rFonts w:ascii="Arial" w:hAnsi="Arial" w:cs="Arial"/>
              </w:rPr>
              <w:t>gic plan and any material changes to them.</w:t>
            </w:r>
          </w:p>
        </w:tc>
      </w:tr>
      <w:tr w:rsidR="000B6D47" w:rsidRPr="0016642B" w14:paraId="7BFE92EA" w14:textId="77777777" w:rsidTr="5C450D93">
        <w:tc>
          <w:tcPr>
            <w:tcW w:w="816" w:type="dxa"/>
          </w:tcPr>
          <w:p w14:paraId="52860A0C" w14:textId="77777777" w:rsidR="000B6D47" w:rsidRPr="0016642B" w:rsidRDefault="000B6D47" w:rsidP="003A4A4F">
            <w:pPr>
              <w:spacing w:after="0" w:line="240" w:lineRule="auto"/>
              <w:rPr>
                <w:rFonts w:ascii="Arial" w:hAnsi="Arial" w:cs="Arial"/>
              </w:rPr>
            </w:pPr>
            <w:r w:rsidRPr="0016642B">
              <w:rPr>
                <w:rFonts w:ascii="Arial" w:hAnsi="Arial" w:cs="Arial"/>
              </w:rPr>
              <w:t>1.3</w:t>
            </w:r>
          </w:p>
        </w:tc>
        <w:tc>
          <w:tcPr>
            <w:tcW w:w="8506" w:type="dxa"/>
          </w:tcPr>
          <w:p w14:paraId="395891CC" w14:textId="77777777" w:rsidR="000B6D47" w:rsidRPr="0016642B" w:rsidRDefault="000B6D47" w:rsidP="00CF2470">
            <w:pPr>
              <w:spacing w:after="0" w:line="240" w:lineRule="auto"/>
              <w:jc w:val="both"/>
              <w:rPr>
                <w:rFonts w:ascii="Arial" w:hAnsi="Arial" w:cs="Arial"/>
              </w:rPr>
            </w:pPr>
            <w:r w:rsidRPr="0016642B">
              <w:rPr>
                <w:rFonts w:ascii="Arial" w:hAnsi="Arial" w:cs="Arial"/>
              </w:rPr>
              <w:t>Material extension of the Group’s activities into new business or geographic areas.</w:t>
            </w:r>
          </w:p>
        </w:tc>
      </w:tr>
      <w:tr w:rsidR="000B6D47" w:rsidRPr="00156541" w14:paraId="3951C82F" w14:textId="77777777" w:rsidTr="5C450D93">
        <w:tc>
          <w:tcPr>
            <w:tcW w:w="816" w:type="dxa"/>
          </w:tcPr>
          <w:p w14:paraId="63508DCD" w14:textId="77777777" w:rsidR="000B6D47" w:rsidRPr="0016642B" w:rsidRDefault="000B6D47" w:rsidP="003A4A4F">
            <w:pPr>
              <w:spacing w:after="0" w:line="240" w:lineRule="auto"/>
              <w:rPr>
                <w:rFonts w:ascii="Arial" w:hAnsi="Arial" w:cs="Arial"/>
              </w:rPr>
            </w:pPr>
            <w:r w:rsidRPr="0016642B">
              <w:rPr>
                <w:rFonts w:ascii="Arial" w:hAnsi="Arial" w:cs="Arial"/>
              </w:rPr>
              <w:t>1.4</w:t>
            </w:r>
          </w:p>
        </w:tc>
        <w:tc>
          <w:tcPr>
            <w:tcW w:w="8506" w:type="dxa"/>
          </w:tcPr>
          <w:p w14:paraId="46AD30F5" w14:textId="77777777" w:rsidR="000B6D47" w:rsidRPr="0016642B" w:rsidRDefault="000B6D47" w:rsidP="00CF2470">
            <w:pPr>
              <w:spacing w:after="0" w:line="240" w:lineRule="auto"/>
              <w:jc w:val="both"/>
              <w:rPr>
                <w:rFonts w:ascii="Arial" w:hAnsi="Arial" w:cs="Arial"/>
              </w:rPr>
            </w:pPr>
            <w:r w:rsidRPr="0016642B">
              <w:rPr>
                <w:rFonts w:ascii="Arial" w:hAnsi="Arial" w:cs="Arial"/>
              </w:rPr>
              <w:t>Any decision to cease to operate all or any material part of the Group’s business.</w:t>
            </w:r>
          </w:p>
        </w:tc>
      </w:tr>
      <w:tr w:rsidR="005944B3" w:rsidRPr="00156541" w14:paraId="0034FED7" w14:textId="77777777" w:rsidTr="5C450D93">
        <w:tc>
          <w:tcPr>
            <w:tcW w:w="816" w:type="dxa"/>
          </w:tcPr>
          <w:p w14:paraId="6C964F70" w14:textId="77777777" w:rsidR="005944B3" w:rsidRPr="00156541" w:rsidRDefault="005944B3" w:rsidP="003A4A4F">
            <w:pPr>
              <w:spacing w:after="0" w:line="240" w:lineRule="auto"/>
              <w:rPr>
                <w:rFonts w:ascii="Arial" w:hAnsi="Arial" w:cs="Arial"/>
              </w:rPr>
            </w:pPr>
            <w:r w:rsidRPr="00156541">
              <w:rPr>
                <w:rFonts w:ascii="Arial" w:hAnsi="Arial" w:cs="Arial"/>
              </w:rPr>
              <w:t>1.5</w:t>
            </w:r>
          </w:p>
        </w:tc>
        <w:tc>
          <w:tcPr>
            <w:tcW w:w="8506" w:type="dxa"/>
          </w:tcPr>
          <w:p w14:paraId="61ECF265" w14:textId="7FEF1F7D" w:rsidR="005944B3" w:rsidRPr="0030117C" w:rsidRDefault="00C06AA4" w:rsidP="00CF2470">
            <w:pPr>
              <w:spacing w:after="0" w:line="240" w:lineRule="auto"/>
              <w:jc w:val="both"/>
              <w:rPr>
                <w:rFonts w:ascii="Arial" w:hAnsi="Arial" w:cs="Arial"/>
              </w:rPr>
            </w:pPr>
            <w:r w:rsidRPr="03A850DF">
              <w:rPr>
                <w:rFonts w:ascii="Arial" w:hAnsi="Arial" w:cs="Arial"/>
              </w:rPr>
              <w:t>T</w:t>
            </w:r>
            <w:r w:rsidR="005944B3" w:rsidRPr="03A850DF">
              <w:rPr>
                <w:rFonts w:ascii="Arial" w:hAnsi="Arial" w:cs="Arial"/>
              </w:rPr>
              <w:t xml:space="preserve">he Group’s Risk Appetite </w:t>
            </w:r>
            <w:r w:rsidRPr="03A850DF">
              <w:rPr>
                <w:rFonts w:ascii="Arial" w:hAnsi="Arial" w:cs="Arial"/>
              </w:rPr>
              <w:t>S</w:t>
            </w:r>
            <w:r w:rsidR="005944B3" w:rsidRPr="03A850DF">
              <w:rPr>
                <w:rFonts w:ascii="Arial" w:hAnsi="Arial" w:cs="Arial"/>
              </w:rPr>
              <w:t>tatement</w:t>
            </w:r>
            <w:r w:rsidR="00543ED2" w:rsidRPr="03A850DF">
              <w:rPr>
                <w:rFonts w:ascii="Arial" w:hAnsi="Arial" w:cs="Arial"/>
              </w:rPr>
              <w:t xml:space="preserve"> and Risk Management Framework</w:t>
            </w:r>
            <w:r w:rsidR="5077AC42" w:rsidRPr="03A850DF">
              <w:rPr>
                <w:rFonts w:ascii="Arial" w:hAnsi="Arial" w:cs="Arial"/>
              </w:rPr>
              <w:t xml:space="preserve"> </w:t>
            </w:r>
            <w:r w:rsidR="266CA5E1" w:rsidRPr="03A850DF">
              <w:rPr>
                <w:rFonts w:ascii="Arial" w:hAnsi="Arial" w:cs="Arial"/>
              </w:rPr>
              <w:t xml:space="preserve">following </w:t>
            </w:r>
            <w:r w:rsidR="5077AC42" w:rsidRPr="03A850DF">
              <w:rPr>
                <w:rFonts w:ascii="Arial" w:hAnsi="Arial" w:cs="Arial"/>
              </w:rPr>
              <w:t xml:space="preserve">recommendation </w:t>
            </w:r>
            <w:r w:rsidR="75306054" w:rsidRPr="03A850DF">
              <w:rPr>
                <w:rFonts w:ascii="Arial" w:hAnsi="Arial" w:cs="Arial"/>
              </w:rPr>
              <w:t xml:space="preserve">from </w:t>
            </w:r>
            <w:r w:rsidR="5077AC42" w:rsidRPr="03A850DF">
              <w:rPr>
                <w:rFonts w:ascii="Arial" w:hAnsi="Arial" w:cs="Arial"/>
              </w:rPr>
              <w:t>the Board Risk Committee</w:t>
            </w:r>
            <w:r w:rsidR="009669E8" w:rsidRPr="03A850DF">
              <w:rPr>
                <w:rFonts w:ascii="Arial" w:hAnsi="Arial" w:cs="Arial"/>
              </w:rPr>
              <w:t>.</w:t>
            </w:r>
            <w:r w:rsidR="005944B3" w:rsidRPr="03A850DF">
              <w:rPr>
                <w:rFonts w:ascii="Arial" w:hAnsi="Arial" w:cs="Arial"/>
              </w:rPr>
              <w:t xml:space="preserve"> </w:t>
            </w:r>
          </w:p>
        </w:tc>
      </w:tr>
      <w:tr w:rsidR="006412E2" w:rsidRPr="00156541" w14:paraId="04CB6612" w14:textId="77777777" w:rsidTr="5C450D93">
        <w:trPr>
          <w:trHeight w:val="300"/>
        </w:trPr>
        <w:tc>
          <w:tcPr>
            <w:tcW w:w="816" w:type="dxa"/>
          </w:tcPr>
          <w:p w14:paraId="6550A7F4" w14:textId="3B53E16D" w:rsidR="006412E2" w:rsidRPr="00156541" w:rsidRDefault="006412E2" w:rsidP="003A4A4F">
            <w:pPr>
              <w:spacing w:after="0" w:line="240" w:lineRule="auto"/>
              <w:rPr>
                <w:rFonts w:ascii="Arial" w:hAnsi="Arial" w:cs="Arial"/>
              </w:rPr>
            </w:pPr>
            <w:r>
              <w:rPr>
                <w:rFonts w:ascii="Arial" w:hAnsi="Arial" w:cs="Arial"/>
              </w:rPr>
              <w:t>1.</w:t>
            </w:r>
            <w:r w:rsidR="00C40F17">
              <w:rPr>
                <w:rFonts w:ascii="Arial" w:hAnsi="Arial" w:cs="Arial"/>
              </w:rPr>
              <w:t>6</w:t>
            </w:r>
          </w:p>
        </w:tc>
        <w:tc>
          <w:tcPr>
            <w:tcW w:w="8506" w:type="dxa"/>
          </w:tcPr>
          <w:p w14:paraId="6248254A" w14:textId="743EA8B7" w:rsidR="006412E2" w:rsidRPr="03A850DF" w:rsidRDefault="00841DF0" w:rsidP="00CF2470">
            <w:pPr>
              <w:spacing w:after="0" w:line="240" w:lineRule="auto"/>
              <w:jc w:val="both"/>
              <w:rPr>
                <w:rFonts w:ascii="Arial" w:hAnsi="Arial" w:cs="Arial"/>
              </w:rPr>
            </w:pPr>
            <w:r w:rsidRPr="00841DF0">
              <w:rPr>
                <w:rFonts w:ascii="Arial" w:hAnsi="Arial" w:cs="Arial"/>
              </w:rPr>
              <w:t>Oversee</w:t>
            </w:r>
            <w:r>
              <w:rPr>
                <w:rFonts w:ascii="Arial" w:hAnsi="Arial" w:cs="Arial"/>
              </w:rPr>
              <w:t>ing</w:t>
            </w:r>
            <w:r w:rsidRPr="00841DF0">
              <w:rPr>
                <w:rFonts w:ascii="Arial" w:hAnsi="Arial" w:cs="Arial"/>
              </w:rPr>
              <w:t xml:space="preserve"> </w:t>
            </w:r>
            <w:r w:rsidR="132A8D89" w:rsidRPr="0AD54278">
              <w:rPr>
                <w:rFonts w:ascii="Arial" w:hAnsi="Arial" w:cs="Arial"/>
              </w:rPr>
              <w:t>M</w:t>
            </w:r>
            <w:r w:rsidRPr="00841DF0">
              <w:rPr>
                <w:rFonts w:ascii="Arial" w:hAnsi="Arial" w:cs="Arial"/>
              </w:rPr>
              <w:t xml:space="preserve">anagement's compliance with </w:t>
            </w:r>
            <w:r w:rsidR="009D2F35">
              <w:rPr>
                <w:rFonts w:ascii="Arial" w:hAnsi="Arial" w:cs="Arial"/>
              </w:rPr>
              <w:t xml:space="preserve">the </w:t>
            </w:r>
            <w:r w:rsidRPr="00841DF0">
              <w:rPr>
                <w:rFonts w:ascii="Arial" w:hAnsi="Arial" w:cs="Arial"/>
              </w:rPr>
              <w:t>twelfth FCA Principle introduced by the FCA's Consumer Duty regulation which requires firms “to act to deliver good outcomes for retail clients” in respect of UK regulated entities.</w:t>
            </w:r>
          </w:p>
        </w:tc>
      </w:tr>
      <w:tr w:rsidR="000B6D47" w:rsidRPr="00156541" w14:paraId="713BF385" w14:textId="77777777" w:rsidTr="5C450D93">
        <w:tc>
          <w:tcPr>
            <w:tcW w:w="816" w:type="dxa"/>
          </w:tcPr>
          <w:p w14:paraId="18F999B5" w14:textId="77777777" w:rsidR="000B6D47" w:rsidRPr="00156541" w:rsidRDefault="000B6D47" w:rsidP="003A4A4F">
            <w:pPr>
              <w:spacing w:after="0" w:line="240" w:lineRule="auto"/>
              <w:rPr>
                <w:rFonts w:ascii="Arial" w:hAnsi="Arial" w:cs="Arial"/>
                <w:b/>
              </w:rPr>
            </w:pPr>
            <w:r w:rsidRPr="00156541">
              <w:rPr>
                <w:rFonts w:ascii="Arial" w:hAnsi="Arial" w:cs="Arial"/>
                <w:b/>
              </w:rPr>
              <w:t>2</w:t>
            </w:r>
          </w:p>
        </w:tc>
        <w:tc>
          <w:tcPr>
            <w:tcW w:w="8506" w:type="dxa"/>
          </w:tcPr>
          <w:p w14:paraId="7FDBD7C5" w14:textId="77777777" w:rsidR="000B6D47" w:rsidRPr="00156541" w:rsidRDefault="000B6D47" w:rsidP="00CF2470">
            <w:pPr>
              <w:spacing w:after="0" w:line="240" w:lineRule="auto"/>
              <w:jc w:val="both"/>
              <w:rPr>
                <w:rFonts w:ascii="Arial" w:hAnsi="Arial" w:cs="Arial"/>
                <w:b/>
              </w:rPr>
            </w:pPr>
            <w:r w:rsidRPr="00156541">
              <w:rPr>
                <w:rFonts w:ascii="Arial" w:hAnsi="Arial" w:cs="Arial"/>
                <w:b/>
              </w:rPr>
              <w:t>Capital Structure and Borrowings</w:t>
            </w:r>
          </w:p>
        </w:tc>
      </w:tr>
      <w:tr w:rsidR="000B6D47" w:rsidRPr="00156541" w14:paraId="28E6BCAE" w14:textId="77777777" w:rsidTr="5C450D93">
        <w:tc>
          <w:tcPr>
            <w:tcW w:w="816" w:type="dxa"/>
          </w:tcPr>
          <w:p w14:paraId="4E6CBBE6" w14:textId="77777777" w:rsidR="000B6D47" w:rsidRPr="00156541" w:rsidRDefault="000B6D47" w:rsidP="003A4A4F">
            <w:pPr>
              <w:spacing w:after="0" w:line="240" w:lineRule="auto"/>
              <w:rPr>
                <w:rFonts w:ascii="Arial" w:hAnsi="Arial" w:cs="Arial"/>
              </w:rPr>
            </w:pPr>
            <w:r w:rsidRPr="00156541">
              <w:rPr>
                <w:rFonts w:ascii="Arial" w:hAnsi="Arial" w:cs="Arial"/>
              </w:rPr>
              <w:t>2.1</w:t>
            </w:r>
          </w:p>
        </w:tc>
        <w:tc>
          <w:tcPr>
            <w:tcW w:w="8506" w:type="dxa"/>
          </w:tcPr>
          <w:p w14:paraId="7756AAFF" w14:textId="77777777" w:rsidR="000B6D47" w:rsidRPr="00156541" w:rsidRDefault="000B6D47" w:rsidP="00CF2470">
            <w:pPr>
              <w:spacing w:after="0" w:line="240" w:lineRule="auto"/>
              <w:jc w:val="both"/>
              <w:rPr>
                <w:rFonts w:ascii="Arial" w:hAnsi="Arial" w:cs="Arial"/>
              </w:rPr>
            </w:pPr>
            <w:r w:rsidRPr="00156541">
              <w:rPr>
                <w:rFonts w:ascii="Arial" w:hAnsi="Arial" w:cs="Arial"/>
              </w:rPr>
              <w:t>Changes</w:t>
            </w:r>
            <w:r w:rsidR="00C06AA4" w:rsidRPr="00156541">
              <w:rPr>
                <w:rFonts w:ascii="Arial" w:hAnsi="Arial" w:cs="Arial"/>
              </w:rPr>
              <w:t xml:space="preserve"> </w:t>
            </w:r>
            <w:r w:rsidRPr="00156541">
              <w:rPr>
                <w:rFonts w:ascii="Arial" w:hAnsi="Arial" w:cs="Arial"/>
              </w:rPr>
              <w:t>to the Group’s debt and equity capital structure</w:t>
            </w:r>
            <w:r w:rsidR="009669E8" w:rsidRPr="00156541">
              <w:rPr>
                <w:rFonts w:ascii="Arial" w:hAnsi="Arial" w:cs="Arial"/>
              </w:rPr>
              <w:t>.</w:t>
            </w:r>
          </w:p>
        </w:tc>
      </w:tr>
      <w:tr w:rsidR="000B6D47" w:rsidRPr="00156541" w14:paraId="109A461F" w14:textId="77777777" w:rsidTr="5C450D93">
        <w:tc>
          <w:tcPr>
            <w:tcW w:w="816" w:type="dxa"/>
          </w:tcPr>
          <w:p w14:paraId="24672A24" w14:textId="77777777" w:rsidR="000B6D47" w:rsidRPr="00156541" w:rsidRDefault="000B6D47" w:rsidP="003A4A4F">
            <w:pPr>
              <w:spacing w:after="0" w:line="240" w:lineRule="auto"/>
              <w:rPr>
                <w:rFonts w:ascii="Arial" w:hAnsi="Arial" w:cs="Arial"/>
              </w:rPr>
            </w:pPr>
            <w:r w:rsidRPr="00156541">
              <w:rPr>
                <w:rFonts w:ascii="Arial" w:hAnsi="Arial" w:cs="Arial"/>
              </w:rPr>
              <w:t>2.2</w:t>
            </w:r>
          </w:p>
        </w:tc>
        <w:tc>
          <w:tcPr>
            <w:tcW w:w="8506" w:type="dxa"/>
          </w:tcPr>
          <w:p w14:paraId="20178D47" w14:textId="77777777" w:rsidR="00C06AA4" w:rsidRPr="00156541" w:rsidRDefault="000B6D47" w:rsidP="00CF2470">
            <w:pPr>
              <w:spacing w:after="0" w:line="240" w:lineRule="auto"/>
              <w:jc w:val="both"/>
              <w:rPr>
                <w:rFonts w:ascii="Arial" w:hAnsi="Arial" w:cs="Arial"/>
              </w:rPr>
            </w:pPr>
            <w:r w:rsidRPr="00156541">
              <w:rPr>
                <w:rFonts w:ascii="Arial" w:hAnsi="Arial" w:cs="Arial"/>
              </w:rPr>
              <w:t>Establishment, extension or material change of the Company’s or any subsidiary’s principal banking facilities and the renewal of existing facilities.</w:t>
            </w:r>
          </w:p>
        </w:tc>
      </w:tr>
      <w:tr w:rsidR="000B6D47" w:rsidRPr="00156541" w14:paraId="36B2F0C2" w14:textId="77777777" w:rsidTr="5C450D93">
        <w:tc>
          <w:tcPr>
            <w:tcW w:w="816" w:type="dxa"/>
          </w:tcPr>
          <w:p w14:paraId="1C93486C" w14:textId="77777777" w:rsidR="000B6D47" w:rsidRPr="00156541" w:rsidRDefault="000B6D47" w:rsidP="003A4A4F">
            <w:pPr>
              <w:spacing w:after="0" w:line="240" w:lineRule="auto"/>
              <w:rPr>
                <w:rFonts w:ascii="Arial" w:hAnsi="Arial" w:cs="Arial"/>
              </w:rPr>
            </w:pPr>
            <w:r w:rsidRPr="00156541">
              <w:rPr>
                <w:rFonts w:ascii="Arial" w:hAnsi="Arial" w:cs="Arial"/>
              </w:rPr>
              <w:t>2.3</w:t>
            </w:r>
          </w:p>
        </w:tc>
        <w:tc>
          <w:tcPr>
            <w:tcW w:w="8506" w:type="dxa"/>
          </w:tcPr>
          <w:p w14:paraId="7D757E6A" w14:textId="22DB6F37" w:rsidR="000B6D47" w:rsidRPr="00156541" w:rsidRDefault="000B6D47" w:rsidP="00CF2470">
            <w:pPr>
              <w:spacing w:after="0" w:line="240" w:lineRule="auto"/>
              <w:jc w:val="both"/>
              <w:rPr>
                <w:rFonts w:ascii="Arial" w:hAnsi="Arial" w:cs="Arial"/>
              </w:rPr>
            </w:pPr>
            <w:r w:rsidRPr="6A77D5F7">
              <w:rPr>
                <w:rFonts w:ascii="Arial" w:hAnsi="Arial" w:cs="Arial"/>
              </w:rPr>
              <w:t>The terms of any borrowings, loans and repayments (including acceptance of credit).</w:t>
            </w:r>
          </w:p>
        </w:tc>
      </w:tr>
      <w:tr w:rsidR="000B6D47" w:rsidRPr="00156541" w14:paraId="60F1F43E" w14:textId="77777777" w:rsidTr="5C450D93">
        <w:tc>
          <w:tcPr>
            <w:tcW w:w="816" w:type="dxa"/>
          </w:tcPr>
          <w:p w14:paraId="5FCD5EC4" w14:textId="77777777" w:rsidR="000B6D47" w:rsidRPr="00156541" w:rsidRDefault="000B6D47" w:rsidP="003A4A4F">
            <w:pPr>
              <w:spacing w:after="0" w:line="240" w:lineRule="auto"/>
              <w:rPr>
                <w:rFonts w:ascii="Arial" w:hAnsi="Arial" w:cs="Arial"/>
                <w:b/>
              </w:rPr>
            </w:pPr>
            <w:r w:rsidRPr="00156541">
              <w:rPr>
                <w:rFonts w:ascii="Arial" w:hAnsi="Arial" w:cs="Arial"/>
                <w:b/>
              </w:rPr>
              <w:t>3</w:t>
            </w:r>
          </w:p>
        </w:tc>
        <w:tc>
          <w:tcPr>
            <w:tcW w:w="8506" w:type="dxa"/>
          </w:tcPr>
          <w:p w14:paraId="5332E09B" w14:textId="77777777" w:rsidR="000B6D47" w:rsidRPr="00156541" w:rsidRDefault="000B6D47" w:rsidP="003A4A4F">
            <w:pPr>
              <w:spacing w:after="0" w:line="240" w:lineRule="auto"/>
              <w:rPr>
                <w:rFonts w:ascii="Arial" w:hAnsi="Arial" w:cs="Arial"/>
                <w:b/>
              </w:rPr>
            </w:pPr>
            <w:r w:rsidRPr="00156541">
              <w:rPr>
                <w:rFonts w:ascii="Arial" w:hAnsi="Arial" w:cs="Arial"/>
                <w:b/>
              </w:rPr>
              <w:t>Corporate Structure</w:t>
            </w:r>
          </w:p>
        </w:tc>
      </w:tr>
      <w:tr w:rsidR="000B6D47" w:rsidRPr="00156541" w14:paraId="7A17E2C2" w14:textId="77777777" w:rsidTr="5C450D93">
        <w:tc>
          <w:tcPr>
            <w:tcW w:w="816" w:type="dxa"/>
          </w:tcPr>
          <w:p w14:paraId="2F7BA2E8" w14:textId="77777777" w:rsidR="000B6D47" w:rsidRPr="00156541" w:rsidRDefault="000B6D47" w:rsidP="003A4A4F">
            <w:pPr>
              <w:spacing w:after="0" w:line="240" w:lineRule="auto"/>
              <w:rPr>
                <w:rFonts w:ascii="Arial" w:hAnsi="Arial" w:cs="Arial"/>
              </w:rPr>
            </w:pPr>
            <w:r w:rsidRPr="00156541">
              <w:rPr>
                <w:rFonts w:ascii="Arial" w:hAnsi="Arial" w:cs="Arial"/>
              </w:rPr>
              <w:t>3.1</w:t>
            </w:r>
          </w:p>
        </w:tc>
        <w:tc>
          <w:tcPr>
            <w:tcW w:w="8506" w:type="dxa"/>
          </w:tcPr>
          <w:p w14:paraId="12A01EA7" w14:textId="77777777" w:rsidR="000B6D47" w:rsidRPr="00156541" w:rsidRDefault="000B6D47" w:rsidP="00CF2470">
            <w:pPr>
              <w:spacing w:after="0" w:line="240" w:lineRule="auto"/>
              <w:jc w:val="both"/>
              <w:rPr>
                <w:rFonts w:ascii="Arial" w:hAnsi="Arial" w:cs="Arial"/>
              </w:rPr>
            </w:pPr>
            <w:r w:rsidRPr="00156541">
              <w:rPr>
                <w:rFonts w:ascii="Arial" w:hAnsi="Arial" w:cs="Arial"/>
              </w:rPr>
              <w:t>Major changes to the Group’s corporate structure including in relation to the</w:t>
            </w:r>
            <w:r w:rsidR="00193D6E" w:rsidRPr="00156541">
              <w:rPr>
                <w:rFonts w:ascii="Arial" w:hAnsi="Arial" w:cs="Arial"/>
              </w:rPr>
              <w:t xml:space="preserve"> establishment or dissolution of corporate entities</w:t>
            </w:r>
            <w:r w:rsidR="009669E8" w:rsidRPr="00156541">
              <w:rPr>
                <w:rFonts w:ascii="Arial" w:hAnsi="Arial" w:cs="Arial"/>
              </w:rPr>
              <w:t>.</w:t>
            </w:r>
            <w:r w:rsidR="00193D6E" w:rsidRPr="00156541">
              <w:rPr>
                <w:rFonts w:ascii="Arial" w:hAnsi="Arial" w:cs="Arial"/>
              </w:rPr>
              <w:t xml:space="preserve"> </w:t>
            </w:r>
            <w:r w:rsidRPr="00156541">
              <w:rPr>
                <w:rFonts w:ascii="Arial" w:hAnsi="Arial" w:cs="Arial"/>
              </w:rPr>
              <w:t xml:space="preserve"> </w:t>
            </w:r>
          </w:p>
        </w:tc>
      </w:tr>
      <w:tr w:rsidR="000B6D47" w:rsidRPr="00156541" w14:paraId="53DD8B8A" w14:textId="77777777" w:rsidTr="5C450D93">
        <w:tc>
          <w:tcPr>
            <w:tcW w:w="816" w:type="dxa"/>
          </w:tcPr>
          <w:p w14:paraId="3D77ADB0" w14:textId="77777777" w:rsidR="000B6D47" w:rsidRPr="00156541" w:rsidRDefault="000B6D47" w:rsidP="003A4A4F">
            <w:pPr>
              <w:spacing w:after="0" w:line="240" w:lineRule="auto"/>
              <w:rPr>
                <w:rFonts w:ascii="Arial" w:hAnsi="Arial" w:cs="Arial"/>
              </w:rPr>
            </w:pPr>
            <w:r w:rsidRPr="00156541">
              <w:rPr>
                <w:rFonts w:ascii="Arial" w:hAnsi="Arial" w:cs="Arial"/>
              </w:rPr>
              <w:t>3.2</w:t>
            </w:r>
          </w:p>
        </w:tc>
        <w:tc>
          <w:tcPr>
            <w:tcW w:w="8506" w:type="dxa"/>
          </w:tcPr>
          <w:p w14:paraId="6D431963" w14:textId="77777777" w:rsidR="000B6D47" w:rsidRPr="00156541" w:rsidRDefault="000B6D47" w:rsidP="00CF2470">
            <w:pPr>
              <w:spacing w:after="0" w:line="240" w:lineRule="auto"/>
              <w:jc w:val="both"/>
              <w:rPr>
                <w:rFonts w:ascii="Arial" w:hAnsi="Arial" w:cs="Arial"/>
              </w:rPr>
            </w:pPr>
            <w:r w:rsidRPr="00156541">
              <w:rPr>
                <w:rFonts w:ascii="Arial" w:hAnsi="Arial" w:cs="Arial"/>
              </w:rPr>
              <w:t>Major changes to the Group’s management and control structure.</w:t>
            </w:r>
          </w:p>
        </w:tc>
      </w:tr>
      <w:tr w:rsidR="000B6D47" w:rsidRPr="00156541" w14:paraId="23C29CF4" w14:textId="77777777" w:rsidTr="5C450D93">
        <w:tc>
          <w:tcPr>
            <w:tcW w:w="816" w:type="dxa"/>
          </w:tcPr>
          <w:p w14:paraId="1DB69759" w14:textId="77777777" w:rsidR="000B6D47" w:rsidRPr="00156541" w:rsidRDefault="000B6D47" w:rsidP="003A4A4F">
            <w:pPr>
              <w:spacing w:after="0" w:line="240" w:lineRule="auto"/>
              <w:rPr>
                <w:rFonts w:ascii="Arial" w:hAnsi="Arial" w:cs="Arial"/>
              </w:rPr>
            </w:pPr>
            <w:r w:rsidRPr="00156541">
              <w:rPr>
                <w:rFonts w:ascii="Arial" w:hAnsi="Arial" w:cs="Arial"/>
              </w:rPr>
              <w:t>3.3</w:t>
            </w:r>
          </w:p>
        </w:tc>
        <w:tc>
          <w:tcPr>
            <w:tcW w:w="8506" w:type="dxa"/>
          </w:tcPr>
          <w:p w14:paraId="5DDC98E7" w14:textId="77777777" w:rsidR="00C06AA4" w:rsidRPr="00156541" w:rsidRDefault="000B6D47" w:rsidP="00CF2470">
            <w:pPr>
              <w:spacing w:after="0" w:line="240" w:lineRule="auto"/>
              <w:jc w:val="both"/>
              <w:rPr>
                <w:rFonts w:ascii="Arial" w:hAnsi="Arial" w:cs="Arial"/>
              </w:rPr>
            </w:pPr>
            <w:r w:rsidRPr="00156541">
              <w:rPr>
                <w:rFonts w:ascii="Arial" w:hAnsi="Arial" w:cs="Arial"/>
              </w:rPr>
              <w:t>Any changes to the Company’s listing or its status as a plc.</w:t>
            </w:r>
          </w:p>
        </w:tc>
      </w:tr>
      <w:tr w:rsidR="000B6D47" w:rsidRPr="00156541" w14:paraId="0EAF7AE5" w14:textId="77777777" w:rsidTr="5C450D93">
        <w:tc>
          <w:tcPr>
            <w:tcW w:w="816" w:type="dxa"/>
          </w:tcPr>
          <w:p w14:paraId="2598DEE6" w14:textId="77777777" w:rsidR="000B6D47" w:rsidRPr="00156541" w:rsidRDefault="000B6D47" w:rsidP="003A4A4F">
            <w:pPr>
              <w:spacing w:after="0" w:line="240" w:lineRule="auto"/>
              <w:rPr>
                <w:rFonts w:ascii="Arial" w:hAnsi="Arial" w:cs="Arial"/>
                <w:b/>
              </w:rPr>
            </w:pPr>
            <w:r w:rsidRPr="00156541">
              <w:rPr>
                <w:rFonts w:ascii="Arial" w:hAnsi="Arial" w:cs="Arial"/>
                <w:b/>
              </w:rPr>
              <w:t>4</w:t>
            </w:r>
          </w:p>
        </w:tc>
        <w:tc>
          <w:tcPr>
            <w:tcW w:w="8506" w:type="dxa"/>
          </w:tcPr>
          <w:p w14:paraId="011AF14B" w14:textId="77777777" w:rsidR="000B6D47" w:rsidRPr="00156541" w:rsidRDefault="000B6D47" w:rsidP="00CF2470">
            <w:pPr>
              <w:spacing w:after="0" w:line="240" w:lineRule="auto"/>
              <w:jc w:val="both"/>
              <w:rPr>
                <w:rFonts w:ascii="Arial" w:hAnsi="Arial" w:cs="Arial"/>
                <w:b/>
              </w:rPr>
            </w:pPr>
            <w:r w:rsidRPr="00156541">
              <w:rPr>
                <w:rFonts w:ascii="Arial" w:hAnsi="Arial" w:cs="Arial"/>
                <w:b/>
              </w:rPr>
              <w:t xml:space="preserve">Financial </w:t>
            </w:r>
            <w:r w:rsidR="002E266D" w:rsidRPr="00156541">
              <w:rPr>
                <w:rFonts w:ascii="Arial" w:hAnsi="Arial" w:cs="Arial"/>
                <w:b/>
              </w:rPr>
              <w:t>R</w:t>
            </w:r>
            <w:r w:rsidRPr="00156541">
              <w:rPr>
                <w:rFonts w:ascii="Arial" w:hAnsi="Arial" w:cs="Arial"/>
                <w:b/>
              </w:rPr>
              <w:t xml:space="preserve">eporting and </w:t>
            </w:r>
            <w:r w:rsidR="002E266D" w:rsidRPr="00156541">
              <w:rPr>
                <w:rFonts w:ascii="Arial" w:hAnsi="Arial" w:cs="Arial"/>
                <w:b/>
              </w:rPr>
              <w:t>C</w:t>
            </w:r>
            <w:r w:rsidRPr="00156541">
              <w:rPr>
                <w:rFonts w:ascii="Arial" w:hAnsi="Arial" w:cs="Arial"/>
                <w:b/>
              </w:rPr>
              <w:t>ontrols</w:t>
            </w:r>
          </w:p>
        </w:tc>
      </w:tr>
      <w:tr w:rsidR="000B6D47" w:rsidRPr="0030117C" w14:paraId="0BC90AD8" w14:textId="77777777" w:rsidTr="5C450D93">
        <w:tc>
          <w:tcPr>
            <w:tcW w:w="816" w:type="dxa"/>
          </w:tcPr>
          <w:p w14:paraId="41ADC8E8" w14:textId="77777777" w:rsidR="000B6D47" w:rsidRPr="00156541" w:rsidRDefault="000B6D47" w:rsidP="003A4A4F">
            <w:pPr>
              <w:spacing w:after="0" w:line="240" w:lineRule="auto"/>
              <w:rPr>
                <w:rFonts w:ascii="Arial" w:hAnsi="Arial" w:cs="Arial"/>
              </w:rPr>
            </w:pPr>
            <w:r w:rsidRPr="00156541">
              <w:rPr>
                <w:rFonts w:ascii="Arial" w:hAnsi="Arial" w:cs="Arial"/>
              </w:rPr>
              <w:t>4.1</w:t>
            </w:r>
          </w:p>
        </w:tc>
        <w:tc>
          <w:tcPr>
            <w:tcW w:w="8506" w:type="dxa"/>
          </w:tcPr>
          <w:p w14:paraId="171E8441" w14:textId="1B922864" w:rsidR="000B6D47" w:rsidRPr="0030117C" w:rsidRDefault="48BC1435" w:rsidP="00CF2470">
            <w:pPr>
              <w:spacing w:after="0" w:line="240" w:lineRule="auto"/>
              <w:jc w:val="both"/>
              <w:rPr>
                <w:rFonts w:ascii="Arial" w:hAnsi="Arial" w:cs="Arial"/>
              </w:rPr>
            </w:pPr>
            <w:r w:rsidRPr="5C450D93">
              <w:rPr>
                <w:rFonts w:ascii="Arial" w:hAnsi="Arial" w:cs="Arial"/>
              </w:rPr>
              <w:t>A</w:t>
            </w:r>
            <w:r w:rsidR="4EE6496B" w:rsidRPr="5C450D93">
              <w:rPr>
                <w:rFonts w:ascii="Arial" w:hAnsi="Arial" w:cs="Arial"/>
              </w:rPr>
              <w:t>nnouncements of half year</w:t>
            </w:r>
            <w:r w:rsidR="09818931" w:rsidRPr="5C450D93">
              <w:rPr>
                <w:rFonts w:ascii="Arial" w:hAnsi="Arial" w:cs="Arial"/>
              </w:rPr>
              <w:t xml:space="preserve"> and</w:t>
            </w:r>
            <w:r w:rsidR="4EE6496B" w:rsidRPr="5C450D93">
              <w:rPr>
                <w:rFonts w:ascii="Arial" w:hAnsi="Arial" w:cs="Arial"/>
              </w:rPr>
              <w:t xml:space="preserve"> final results</w:t>
            </w:r>
            <w:r w:rsidR="39578FA0" w:rsidRPr="5C450D93">
              <w:rPr>
                <w:rFonts w:ascii="Arial" w:hAnsi="Arial" w:cs="Arial"/>
              </w:rPr>
              <w:t>,</w:t>
            </w:r>
            <w:r w:rsidR="4EE6496B" w:rsidRPr="5C450D93">
              <w:rPr>
                <w:rFonts w:ascii="Arial" w:hAnsi="Arial" w:cs="Arial"/>
              </w:rPr>
              <w:t xml:space="preserve"> </w:t>
            </w:r>
            <w:r w:rsidR="59BAF389" w:rsidRPr="5C450D93">
              <w:rPr>
                <w:rFonts w:ascii="Arial" w:hAnsi="Arial" w:cs="Arial"/>
              </w:rPr>
              <w:t>.</w:t>
            </w:r>
          </w:p>
        </w:tc>
      </w:tr>
      <w:tr w:rsidR="000B6D47" w:rsidRPr="0030117C" w14:paraId="41DE6AB6" w14:textId="77777777" w:rsidTr="5C450D93">
        <w:tc>
          <w:tcPr>
            <w:tcW w:w="816" w:type="dxa"/>
          </w:tcPr>
          <w:p w14:paraId="67D112E1" w14:textId="77777777" w:rsidR="000B6D47" w:rsidRPr="0030117C" w:rsidRDefault="000B6D47" w:rsidP="003A4A4F">
            <w:pPr>
              <w:spacing w:after="0" w:line="240" w:lineRule="auto"/>
              <w:rPr>
                <w:rFonts w:ascii="Arial" w:hAnsi="Arial" w:cs="Arial"/>
              </w:rPr>
            </w:pPr>
            <w:r w:rsidRPr="0030117C">
              <w:rPr>
                <w:rFonts w:ascii="Arial" w:hAnsi="Arial" w:cs="Arial"/>
              </w:rPr>
              <w:t>4.2</w:t>
            </w:r>
          </w:p>
        </w:tc>
        <w:tc>
          <w:tcPr>
            <w:tcW w:w="8506" w:type="dxa"/>
          </w:tcPr>
          <w:p w14:paraId="202E9AF8" w14:textId="77777777" w:rsidR="000B6D47" w:rsidRPr="0030117C" w:rsidRDefault="00C06AA4" w:rsidP="00CF2470">
            <w:pPr>
              <w:spacing w:after="0" w:line="240" w:lineRule="auto"/>
              <w:jc w:val="both"/>
              <w:rPr>
                <w:rFonts w:ascii="Arial" w:hAnsi="Arial" w:cs="Arial"/>
              </w:rPr>
            </w:pPr>
            <w:r w:rsidRPr="0030117C">
              <w:rPr>
                <w:rFonts w:ascii="Arial" w:hAnsi="Arial" w:cs="Arial"/>
              </w:rPr>
              <w:t>T</w:t>
            </w:r>
            <w:r w:rsidR="000B6D47" w:rsidRPr="0030117C">
              <w:rPr>
                <w:rFonts w:ascii="Arial" w:hAnsi="Arial" w:cs="Arial"/>
              </w:rPr>
              <w:t xml:space="preserve">he annual report and </w:t>
            </w:r>
            <w:r w:rsidR="00193D6E" w:rsidRPr="0030117C">
              <w:rPr>
                <w:rFonts w:ascii="Arial" w:hAnsi="Arial" w:cs="Arial"/>
              </w:rPr>
              <w:t>financi</w:t>
            </w:r>
            <w:r w:rsidRPr="0030117C">
              <w:rPr>
                <w:rFonts w:ascii="Arial" w:hAnsi="Arial" w:cs="Arial"/>
              </w:rPr>
              <w:t>a</w:t>
            </w:r>
            <w:r w:rsidR="00193D6E" w:rsidRPr="0030117C">
              <w:rPr>
                <w:rFonts w:ascii="Arial" w:hAnsi="Arial" w:cs="Arial"/>
              </w:rPr>
              <w:t>l statements</w:t>
            </w:r>
            <w:r w:rsidR="009669E8" w:rsidRPr="0030117C">
              <w:rPr>
                <w:rFonts w:ascii="Arial" w:hAnsi="Arial" w:cs="Arial"/>
              </w:rPr>
              <w:t>.</w:t>
            </w:r>
          </w:p>
        </w:tc>
      </w:tr>
      <w:tr w:rsidR="000B6D47" w:rsidRPr="0030117C" w14:paraId="465EC105" w14:textId="77777777" w:rsidTr="5C450D93">
        <w:tc>
          <w:tcPr>
            <w:tcW w:w="816" w:type="dxa"/>
          </w:tcPr>
          <w:p w14:paraId="530F788C" w14:textId="77777777" w:rsidR="000B6D47" w:rsidRPr="0030117C" w:rsidRDefault="000B6D47" w:rsidP="003A4A4F">
            <w:pPr>
              <w:spacing w:after="0" w:line="240" w:lineRule="auto"/>
              <w:rPr>
                <w:rFonts w:ascii="Arial" w:hAnsi="Arial" w:cs="Arial"/>
              </w:rPr>
            </w:pPr>
            <w:r w:rsidRPr="0030117C">
              <w:rPr>
                <w:rFonts w:ascii="Arial" w:hAnsi="Arial" w:cs="Arial"/>
              </w:rPr>
              <w:t>4.3</w:t>
            </w:r>
          </w:p>
        </w:tc>
        <w:tc>
          <w:tcPr>
            <w:tcW w:w="8506" w:type="dxa"/>
          </w:tcPr>
          <w:p w14:paraId="2596AC18" w14:textId="14596B1E" w:rsidR="000B6D47" w:rsidRPr="0030117C" w:rsidRDefault="48679233" w:rsidP="00CF2470">
            <w:pPr>
              <w:spacing w:after="0" w:line="240" w:lineRule="auto"/>
              <w:jc w:val="both"/>
              <w:rPr>
                <w:rFonts w:ascii="Arial" w:hAnsi="Arial" w:cs="Arial"/>
              </w:rPr>
            </w:pPr>
            <w:r w:rsidRPr="2BE163B1">
              <w:rPr>
                <w:rFonts w:ascii="Arial" w:hAnsi="Arial" w:cs="Arial"/>
              </w:rPr>
              <w:t>T</w:t>
            </w:r>
            <w:r w:rsidR="35C63A43" w:rsidRPr="2BE163B1">
              <w:rPr>
                <w:rFonts w:ascii="Arial" w:hAnsi="Arial" w:cs="Arial"/>
              </w:rPr>
              <w:t>he</w:t>
            </w:r>
            <w:r w:rsidR="59E16F49" w:rsidRPr="2BE163B1">
              <w:rPr>
                <w:rFonts w:ascii="Arial" w:hAnsi="Arial" w:cs="Arial"/>
              </w:rPr>
              <w:t xml:space="preserve"> Company’s</w:t>
            </w:r>
            <w:r w:rsidR="35C63A43" w:rsidRPr="2BE163B1">
              <w:rPr>
                <w:rFonts w:ascii="Arial" w:hAnsi="Arial" w:cs="Arial"/>
              </w:rPr>
              <w:t xml:space="preserve"> dividend policy</w:t>
            </w:r>
            <w:r w:rsidR="6846B852" w:rsidRPr="2BE163B1">
              <w:rPr>
                <w:rFonts w:ascii="Arial" w:hAnsi="Arial" w:cs="Arial"/>
              </w:rPr>
              <w:t xml:space="preserve"> as part of the Capital Allocation Framework</w:t>
            </w:r>
            <w:r w:rsidR="35C63A43" w:rsidRPr="2BE163B1">
              <w:rPr>
                <w:rFonts w:ascii="Arial" w:hAnsi="Arial" w:cs="Arial"/>
              </w:rPr>
              <w:t>.</w:t>
            </w:r>
          </w:p>
        </w:tc>
      </w:tr>
      <w:tr w:rsidR="000B6D47" w:rsidRPr="0030117C" w14:paraId="388DCC35" w14:textId="77777777" w:rsidTr="5C450D93">
        <w:tc>
          <w:tcPr>
            <w:tcW w:w="816" w:type="dxa"/>
          </w:tcPr>
          <w:p w14:paraId="1BA39565" w14:textId="77777777" w:rsidR="000B6D47" w:rsidRPr="0030117C" w:rsidRDefault="000B6D47" w:rsidP="003A4A4F">
            <w:pPr>
              <w:spacing w:after="0" w:line="240" w:lineRule="auto"/>
              <w:rPr>
                <w:rFonts w:ascii="Arial" w:hAnsi="Arial" w:cs="Arial"/>
              </w:rPr>
            </w:pPr>
            <w:r w:rsidRPr="0030117C">
              <w:rPr>
                <w:rFonts w:ascii="Arial" w:hAnsi="Arial" w:cs="Arial"/>
              </w:rPr>
              <w:t>4.4</w:t>
            </w:r>
          </w:p>
        </w:tc>
        <w:tc>
          <w:tcPr>
            <w:tcW w:w="8506" w:type="dxa"/>
          </w:tcPr>
          <w:p w14:paraId="223AC88B" w14:textId="77777777" w:rsidR="000B6D47" w:rsidRPr="0030117C" w:rsidRDefault="000B6D47" w:rsidP="00CF2470">
            <w:pPr>
              <w:spacing w:after="0" w:line="240" w:lineRule="auto"/>
              <w:jc w:val="both"/>
              <w:rPr>
                <w:rFonts w:ascii="Arial" w:hAnsi="Arial" w:cs="Arial"/>
              </w:rPr>
            </w:pPr>
            <w:r w:rsidRPr="0030117C">
              <w:rPr>
                <w:rFonts w:ascii="Arial" w:hAnsi="Arial" w:cs="Arial"/>
              </w:rPr>
              <w:t xml:space="preserve">Declaration of </w:t>
            </w:r>
            <w:r w:rsidR="0049735D">
              <w:rPr>
                <w:rFonts w:ascii="Arial" w:hAnsi="Arial" w:cs="Arial"/>
              </w:rPr>
              <w:t>any</w:t>
            </w:r>
            <w:r w:rsidRPr="0030117C">
              <w:rPr>
                <w:rFonts w:ascii="Arial" w:hAnsi="Arial" w:cs="Arial"/>
              </w:rPr>
              <w:t xml:space="preserve"> interim dividend and recommendation of </w:t>
            </w:r>
            <w:r w:rsidR="0049735D">
              <w:rPr>
                <w:rFonts w:ascii="Arial" w:hAnsi="Arial" w:cs="Arial"/>
              </w:rPr>
              <w:t>any</w:t>
            </w:r>
            <w:r w:rsidRPr="0030117C">
              <w:rPr>
                <w:rFonts w:ascii="Arial" w:hAnsi="Arial" w:cs="Arial"/>
              </w:rPr>
              <w:t xml:space="preserve"> final dividend</w:t>
            </w:r>
            <w:r w:rsidR="004637FF">
              <w:rPr>
                <w:rFonts w:ascii="Arial" w:hAnsi="Arial" w:cs="Arial"/>
              </w:rPr>
              <w:t xml:space="preserve"> (including any special dividend)</w:t>
            </w:r>
            <w:r w:rsidRPr="0030117C">
              <w:rPr>
                <w:rFonts w:ascii="Arial" w:hAnsi="Arial" w:cs="Arial"/>
              </w:rPr>
              <w:t>.</w:t>
            </w:r>
          </w:p>
        </w:tc>
      </w:tr>
      <w:tr w:rsidR="000B6D47" w:rsidRPr="0030117C" w14:paraId="3D1F1BF3" w14:textId="77777777" w:rsidTr="5C450D93">
        <w:tc>
          <w:tcPr>
            <w:tcW w:w="816" w:type="dxa"/>
          </w:tcPr>
          <w:p w14:paraId="25B0E7C1" w14:textId="77777777" w:rsidR="000B6D47" w:rsidRPr="0030117C" w:rsidRDefault="000B6D47" w:rsidP="003A4A4F">
            <w:pPr>
              <w:spacing w:after="0" w:line="240" w:lineRule="auto"/>
              <w:rPr>
                <w:rFonts w:ascii="Arial" w:hAnsi="Arial" w:cs="Arial"/>
              </w:rPr>
            </w:pPr>
            <w:r w:rsidRPr="0030117C">
              <w:rPr>
                <w:rFonts w:ascii="Arial" w:hAnsi="Arial" w:cs="Arial"/>
              </w:rPr>
              <w:t>4.5</w:t>
            </w:r>
          </w:p>
        </w:tc>
        <w:tc>
          <w:tcPr>
            <w:tcW w:w="8506" w:type="dxa"/>
          </w:tcPr>
          <w:p w14:paraId="0B5CA9CC" w14:textId="13C78446" w:rsidR="000B6D47" w:rsidRPr="0030117C" w:rsidRDefault="00C06AA4" w:rsidP="00CF2470">
            <w:pPr>
              <w:spacing w:after="0" w:line="240" w:lineRule="auto"/>
              <w:jc w:val="both"/>
              <w:rPr>
                <w:rFonts w:ascii="Arial" w:hAnsi="Arial" w:cs="Arial"/>
              </w:rPr>
            </w:pPr>
            <w:r w:rsidRPr="03A850DF">
              <w:rPr>
                <w:rFonts w:ascii="Arial" w:hAnsi="Arial" w:cs="Arial"/>
              </w:rPr>
              <w:t>A</w:t>
            </w:r>
            <w:r w:rsidR="000B6D47" w:rsidRPr="03A850DF">
              <w:rPr>
                <w:rFonts w:ascii="Arial" w:hAnsi="Arial" w:cs="Arial"/>
              </w:rPr>
              <w:t>ny significant changes in accounting policies or practices including changes to the accounting reference date</w:t>
            </w:r>
            <w:r w:rsidR="1E510DC6" w:rsidRPr="03A850DF">
              <w:rPr>
                <w:rFonts w:ascii="Arial" w:hAnsi="Arial" w:cs="Arial"/>
              </w:rPr>
              <w:t xml:space="preserve"> following recommendation from the Audit Committee</w:t>
            </w:r>
            <w:r w:rsidR="000B6D47" w:rsidRPr="03A850DF">
              <w:rPr>
                <w:rFonts w:ascii="Arial" w:hAnsi="Arial" w:cs="Arial"/>
              </w:rPr>
              <w:t>.</w:t>
            </w:r>
          </w:p>
        </w:tc>
      </w:tr>
    </w:tbl>
    <w:p w14:paraId="5E0973E9" w14:textId="77777777" w:rsidR="003905AD" w:rsidRDefault="003905AD">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06"/>
      </w:tblGrid>
      <w:tr w:rsidR="000B6D47" w:rsidRPr="0030117C" w14:paraId="2E437CC4" w14:textId="77777777" w:rsidTr="5C450D93">
        <w:tc>
          <w:tcPr>
            <w:tcW w:w="816" w:type="dxa"/>
          </w:tcPr>
          <w:p w14:paraId="78941E47" w14:textId="7799B032" w:rsidR="000B6D47" w:rsidRPr="0030117C" w:rsidRDefault="000B6D47" w:rsidP="003A4A4F">
            <w:pPr>
              <w:spacing w:after="0" w:line="240" w:lineRule="auto"/>
              <w:rPr>
                <w:rFonts w:ascii="Arial" w:hAnsi="Arial" w:cs="Arial"/>
                <w:b/>
              </w:rPr>
            </w:pPr>
            <w:r w:rsidRPr="0030117C">
              <w:rPr>
                <w:rFonts w:ascii="Arial" w:hAnsi="Arial" w:cs="Arial"/>
                <w:b/>
              </w:rPr>
              <w:lastRenderedPageBreak/>
              <w:t>5</w:t>
            </w:r>
          </w:p>
        </w:tc>
        <w:tc>
          <w:tcPr>
            <w:tcW w:w="8506" w:type="dxa"/>
          </w:tcPr>
          <w:p w14:paraId="338FFF5A" w14:textId="77777777" w:rsidR="000B6D47" w:rsidRPr="0030117C" w:rsidRDefault="000B6D47" w:rsidP="003A4A4F">
            <w:pPr>
              <w:spacing w:after="0" w:line="240" w:lineRule="auto"/>
              <w:rPr>
                <w:rFonts w:ascii="Arial" w:hAnsi="Arial" w:cs="Arial"/>
                <w:b/>
              </w:rPr>
            </w:pPr>
            <w:r w:rsidRPr="0030117C">
              <w:rPr>
                <w:rFonts w:ascii="Arial" w:hAnsi="Arial" w:cs="Arial"/>
                <w:b/>
              </w:rPr>
              <w:t>Contracts</w:t>
            </w:r>
            <w:r w:rsidR="00272109">
              <w:rPr>
                <w:rFonts w:ascii="Arial" w:hAnsi="Arial" w:cs="Arial"/>
                <w:b/>
              </w:rPr>
              <w:t xml:space="preserve"> </w:t>
            </w:r>
            <w:r w:rsidRPr="0030117C">
              <w:rPr>
                <w:rFonts w:ascii="Arial" w:hAnsi="Arial" w:cs="Arial"/>
                <w:b/>
              </w:rPr>
              <w:t>/</w:t>
            </w:r>
            <w:r w:rsidR="00272109">
              <w:rPr>
                <w:rFonts w:ascii="Arial" w:hAnsi="Arial" w:cs="Arial"/>
                <w:b/>
              </w:rPr>
              <w:t xml:space="preserve"> </w:t>
            </w:r>
            <w:r w:rsidRPr="0030117C">
              <w:rPr>
                <w:rFonts w:ascii="Arial" w:hAnsi="Arial" w:cs="Arial"/>
                <w:b/>
              </w:rPr>
              <w:t>Projects</w:t>
            </w:r>
          </w:p>
        </w:tc>
      </w:tr>
      <w:tr w:rsidR="000B6D47" w:rsidRPr="0030117C" w14:paraId="19B57C1C" w14:textId="77777777" w:rsidTr="5C450D93">
        <w:tc>
          <w:tcPr>
            <w:tcW w:w="816" w:type="dxa"/>
          </w:tcPr>
          <w:p w14:paraId="3A6AA1BC" w14:textId="77777777" w:rsidR="000B6D47" w:rsidRPr="0030117C" w:rsidRDefault="000B6D47" w:rsidP="003A4A4F">
            <w:pPr>
              <w:spacing w:after="0" w:line="240" w:lineRule="auto"/>
              <w:rPr>
                <w:rFonts w:ascii="Arial" w:hAnsi="Arial" w:cs="Arial"/>
              </w:rPr>
            </w:pPr>
            <w:r w:rsidRPr="0030117C">
              <w:rPr>
                <w:rFonts w:ascii="Arial" w:hAnsi="Arial" w:cs="Arial"/>
              </w:rPr>
              <w:t>5.1</w:t>
            </w:r>
          </w:p>
        </w:tc>
        <w:tc>
          <w:tcPr>
            <w:tcW w:w="8506" w:type="dxa"/>
          </w:tcPr>
          <w:p w14:paraId="209EECEA" w14:textId="7512B713" w:rsidR="000B6D47" w:rsidRPr="0030117C" w:rsidRDefault="00C06AA4" w:rsidP="00CF2470">
            <w:pPr>
              <w:spacing w:after="0" w:line="240" w:lineRule="auto"/>
              <w:jc w:val="both"/>
              <w:rPr>
                <w:rFonts w:ascii="Arial" w:hAnsi="Arial" w:cs="Arial"/>
              </w:rPr>
            </w:pPr>
            <w:r w:rsidRPr="03A850DF">
              <w:rPr>
                <w:rFonts w:ascii="Arial" w:hAnsi="Arial" w:cs="Arial"/>
              </w:rPr>
              <w:t>T</w:t>
            </w:r>
            <w:r w:rsidR="00193D6E" w:rsidRPr="03A850DF">
              <w:rPr>
                <w:rFonts w:ascii="Arial" w:hAnsi="Arial" w:cs="Arial"/>
              </w:rPr>
              <w:t>he entering into of c</w:t>
            </w:r>
            <w:r w:rsidR="000B6D47" w:rsidRPr="03A850DF">
              <w:rPr>
                <w:rFonts w:ascii="Arial" w:hAnsi="Arial" w:cs="Arial"/>
              </w:rPr>
              <w:t xml:space="preserve">ontracts </w:t>
            </w:r>
            <w:r w:rsidR="00193D6E" w:rsidRPr="03A850DF">
              <w:rPr>
                <w:rFonts w:ascii="Arial" w:hAnsi="Arial" w:cs="Arial"/>
              </w:rPr>
              <w:t>by</w:t>
            </w:r>
            <w:r w:rsidR="000B6D47" w:rsidRPr="03A850DF">
              <w:rPr>
                <w:rFonts w:ascii="Arial" w:hAnsi="Arial" w:cs="Arial"/>
              </w:rPr>
              <w:t xml:space="preserve"> </w:t>
            </w:r>
            <w:r w:rsidRPr="03A850DF">
              <w:rPr>
                <w:rFonts w:ascii="Arial" w:hAnsi="Arial" w:cs="Arial"/>
              </w:rPr>
              <w:t>any company</w:t>
            </w:r>
            <w:r w:rsidR="00912DD5" w:rsidRPr="03A850DF">
              <w:rPr>
                <w:rFonts w:ascii="Arial" w:hAnsi="Arial" w:cs="Arial"/>
              </w:rPr>
              <w:t xml:space="preserve"> in the Group </w:t>
            </w:r>
            <w:r w:rsidR="000B6D47" w:rsidRPr="03A850DF">
              <w:rPr>
                <w:rFonts w:ascii="Arial" w:hAnsi="Arial" w:cs="Arial"/>
              </w:rPr>
              <w:t>other than in the ordinary course of business of £</w:t>
            </w:r>
            <w:r w:rsidR="00087386" w:rsidRPr="03A850DF">
              <w:rPr>
                <w:rFonts w:ascii="Arial" w:hAnsi="Arial" w:cs="Arial"/>
              </w:rPr>
              <w:t>1</w:t>
            </w:r>
            <w:r w:rsidR="00AC64CD" w:rsidRPr="03A850DF">
              <w:rPr>
                <w:rFonts w:ascii="Arial" w:hAnsi="Arial" w:cs="Arial"/>
              </w:rPr>
              <w:t>0m</w:t>
            </w:r>
            <w:r w:rsidR="2A039B19" w:rsidRPr="03A850DF">
              <w:rPr>
                <w:rFonts w:ascii="Arial" w:hAnsi="Arial" w:cs="Arial"/>
              </w:rPr>
              <w:t xml:space="preserve"> per annum commitment</w:t>
            </w:r>
            <w:r w:rsidR="00AC64CD" w:rsidRPr="03A850DF">
              <w:rPr>
                <w:rFonts w:ascii="Arial" w:hAnsi="Arial" w:cs="Arial"/>
              </w:rPr>
              <w:t xml:space="preserve"> </w:t>
            </w:r>
            <w:r w:rsidR="000B6D47" w:rsidRPr="03A850DF">
              <w:rPr>
                <w:rFonts w:ascii="Arial" w:hAnsi="Arial" w:cs="Arial"/>
              </w:rPr>
              <w:t>or above.</w:t>
            </w:r>
          </w:p>
        </w:tc>
      </w:tr>
      <w:tr w:rsidR="000B6D47" w:rsidRPr="0030117C" w:rsidDel="002F24B8" w14:paraId="7D58D1DD" w14:textId="77777777" w:rsidTr="5C450D93">
        <w:tc>
          <w:tcPr>
            <w:tcW w:w="816" w:type="dxa"/>
          </w:tcPr>
          <w:p w14:paraId="48DA2E20" w14:textId="77777777" w:rsidR="000B6D47" w:rsidRPr="0030117C" w:rsidRDefault="000B6D47" w:rsidP="003A4A4F">
            <w:pPr>
              <w:spacing w:after="0" w:line="240" w:lineRule="auto"/>
              <w:rPr>
                <w:rFonts w:ascii="Arial" w:hAnsi="Arial" w:cs="Arial"/>
              </w:rPr>
            </w:pPr>
            <w:r w:rsidRPr="0030117C">
              <w:rPr>
                <w:rFonts w:ascii="Arial" w:hAnsi="Arial" w:cs="Arial"/>
              </w:rPr>
              <w:t>5.2</w:t>
            </w:r>
          </w:p>
        </w:tc>
        <w:tc>
          <w:tcPr>
            <w:tcW w:w="8506" w:type="dxa"/>
          </w:tcPr>
          <w:p w14:paraId="5659455B" w14:textId="77777777" w:rsidR="000B6D47" w:rsidRPr="0030117C" w:rsidDel="002F24B8" w:rsidRDefault="000B6D47" w:rsidP="00CF2470">
            <w:pPr>
              <w:spacing w:after="0" w:line="240" w:lineRule="auto"/>
              <w:jc w:val="both"/>
              <w:rPr>
                <w:rFonts w:ascii="Arial" w:hAnsi="Arial" w:cs="Arial"/>
              </w:rPr>
            </w:pPr>
            <w:r w:rsidRPr="0030117C">
              <w:rPr>
                <w:rFonts w:ascii="Arial" w:hAnsi="Arial" w:cs="Arial"/>
              </w:rPr>
              <w:t>Entry into strategic alliances e.g. joint ventures</w:t>
            </w:r>
            <w:r w:rsidR="006976AC" w:rsidRPr="0030117C">
              <w:rPr>
                <w:rFonts w:ascii="Arial" w:hAnsi="Arial" w:cs="Arial"/>
              </w:rPr>
              <w:t>.</w:t>
            </w:r>
          </w:p>
        </w:tc>
      </w:tr>
      <w:tr w:rsidR="000B6D47" w:rsidRPr="0030117C" w14:paraId="7766D5A7" w14:textId="77777777" w:rsidTr="5C450D93">
        <w:tc>
          <w:tcPr>
            <w:tcW w:w="816" w:type="dxa"/>
          </w:tcPr>
          <w:p w14:paraId="0B0AC77C" w14:textId="77777777" w:rsidR="000B6D47" w:rsidRPr="0030117C" w:rsidRDefault="000B6D47" w:rsidP="003A4A4F">
            <w:pPr>
              <w:spacing w:after="0" w:line="240" w:lineRule="auto"/>
              <w:rPr>
                <w:rFonts w:ascii="Arial" w:hAnsi="Arial" w:cs="Arial"/>
              </w:rPr>
            </w:pPr>
            <w:r w:rsidRPr="0030117C">
              <w:rPr>
                <w:rFonts w:ascii="Arial" w:hAnsi="Arial" w:cs="Arial"/>
              </w:rPr>
              <w:t>5.3</w:t>
            </w:r>
          </w:p>
        </w:tc>
        <w:tc>
          <w:tcPr>
            <w:tcW w:w="8506" w:type="dxa"/>
          </w:tcPr>
          <w:p w14:paraId="4C09E823" w14:textId="7E5F4130" w:rsidR="00D862A7" w:rsidRPr="0030117C" w:rsidRDefault="0051427A" w:rsidP="00CF2470">
            <w:pPr>
              <w:spacing w:after="0" w:line="240" w:lineRule="auto"/>
              <w:jc w:val="both"/>
              <w:rPr>
                <w:rFonts w:ascii="Arial" w:hAnsi="Arial" w:cs="Arial"/>
              </w:rPr>
            </w:pPr>
            <w:r>
              <w:rPr>
                <w:rFonts w:ascii="Arial" w:hAnsi="Arial" w:cs="Arial"/>
              </w:rPr>
              <w:t>A</w:t>
            </w:r>
            <w:r w:rsidR="00C06AA4" w:rsidRPr="0030117C">
              <w:rPr>
                <w:rFonts w:ascii="Arial" w:hAnsi="Arial" w:cs="Arial"/>
              </w:rPr>
              <w:t>n</w:t>
            </w:r>
            <w:r w:rsidR="000B6D47" w:rsidRPr="0030117C">
              <w:rPr>
                <w:rFonts w:ascii="Arial" w:hAnsi="Arial" w:cs="Arial"/>
              </w:rPr>
              <w:t>y acquisition of interest</w:t>
            </w:r>
            <w:r w:rsidR="00193D6E" w:rsidRPr="0030117C">
              <w:rPr>
                <w:rFonts w:ascii="Arial" w:hAnsi="Arial" w:cs="Arial"/>
              </w:rPr>
              <w:t>s</w:t>
            </w:r>
            <w:r w:rsidR="000B6D47" w:rsidRPr="0030117C">
              <w:rPr>
                <w:rFonts w:ascii="Arial" w:hAnsi="Arial" w:cs="Arial"/>
              </w:rPr>
              <w:t xml:space="preserve"> of 10 per cent or more in the voting shares of any company where the consideration is £</w:t>
            </w:r>
            <w:r w:rsidR="00E56805">
              <w:rPr>
                <w:rFonts w:ascii="Arial" w:hAnsi="Arial" w:cs="Arial"/>
              </w:rPr>
              <w:t>10</w:t>
            </w:r>
            <w:r w:rsidR="00E56805" w:rsidRPr="0030117C">
              <w:rPr>
                <w:rFonts w:ascii="Arial" w:hAnsi="Arial" w:cs="Arial"/>
              </w:rPr>
              <w:t xml:space="preserve">m </w:t>
            </w:r>
            <w:r w:rsidR="000B6D47" w:rsidRPr="0030117C">
              <w:rPr>
                <w:rFonts w:ascii="Arial" w:hAnsi="Arial" w:cs="Arial"/>
              </w:rPr>
              <w:t>or above, the making of a takeover offer or any investment requiring to be disclosed to the market in accordance with the Listing Rules Class Tests</w:t>
            </w:r>
            <w:r w:rsidR="006976AC" w:rsidRPr="0030117C">
              <w:rPr>
                <w:rFonts w:ascii="Arial" w:hAnsi="Arial" w:cs="Arial"/>
              </w:rPr>
              <w:t>.</w:t>
            </w:r>
            <w:r w:rsidR="000B6D47" w:rsidRPr="0030117C">
              <w:rPr>
                <w:rFonts w:ascii="Arial" w:hAnsi="Arial" w:cs="Arial"/>
              </w:rPr>
              <w:t xml:space="preserve"> </w:t>
            </w:r>
          </w:p>
        </w:tc>
      </w:tr>
      <w:tr w:rsidR="00E56805" w:rsidRPr="0030117C" w14:paraId="7719D5EC" w14:textId="77777777" w:rsidTr="5C450D93">
        <w:tc>
          <w:tcPr>
            <w:tcW w:w="816" w:type="dxa"/>
          </w:tcPr>
          <w:p w14:paraId="6CC37817" w14:textId="77777777" w:rsidR="00E56805" w:rsidRPr="0030117C" w:rsidRDefault="00E56805" w:rsidP="003A4A4F">
            <w:pPr>
              <w:spacing w:after="0" w:line="240" w:lineRule="auto"/>
              <w:rPr>
                <w:rFonts w:ascii="Arial" w:hAnsi="Arial" w:cs="Arial"/>
              </w:rPr>
            </w:pPr>
            <w:r>
              <w:rPr>
                <w:rFonts w:ascii="Arial" w:hAnsi="Arial" w:cs="Arial"/>
              </w:rPr>
              <w:t>5.4</w:t>
            </w:r>
          </w:p>
        </w:tc>
        <w:tc>
          <w:tcPr>
            <w:tcW w:w="8506" w:type="dxa"/>
          </w:tcPr>
          <w:p w14:paraId="35503F39" w14:textId="77777777" w:rsidR="00E56805" w:rsidRPr="0030117C" w:rsidRDefault="00E56805" w:rsidP="00CF2470">
            <w:pPr>
              <w:spacing w:after="0" w:line="240" w:lineRule="auto"/>
              <w:jc w:val="both"/>
              <w:rPr>
                <w:rFonts w:ascii="Arial" w:hAnsi="Arial" w:cs="Arial"/>
              </w:rPr>
            </w:pPr>
            <w:r>
              <w:rPr>
                <w:rFonts w:ascii="Arial" w:hAnsi="Arial" w:cs="Arial"/>
              </w:rPr>
              <w:t>Approve any acquisition by any North American subsidiary entity of interests in any company of 10 per cent or more in the voting shares of any company where the consideration is £10m or above.</w:t>
            </w:r>
          </w:p>
        </w:tc>
      </w:tr>
      <w:tr w:rsidR="000B6D47" w:rsidRPr="0030117C" w14:paraId="54702B58" w14:textId="77777777" w:rsidTr="5C450D93">
        <w:tc>
          <w:tcPr>
            <w:tcW w:w="816" w:type="dxa"/>
          </w:tcPr>
          <w:p w14:paraId="29B4EA11" w14:textId="77777777" w:rsidR="000B6D47" w:rsidRPr="0030117C" w:rsidRDefault="000B6D47" w:rsidP="003A4A4F">
            <w:pPr>
              <w:spacing w:after="0" w:line="240" w:lineRule="auto"/>
              <w:rPr>
                <w:rFonts w:ascii="Arial" w:hAnsi="Arial" w:cs="Arial"/>
                <w:b/>
              </w:rPr>
            </w:pPr>
            <w:r w:rsidRPr="0030117C">
              <w:rPr>
                <w:rFonts w:ascii="Arial" w:hAnsi="Arial" w:cs="Arial"/>
                <w:b/>
              </w:rPr>
              <w:t>6</w:t>
            </w:r>
          </w:p>
        </w:tc>
        <w:tc>
          <w:tcPr>
            <w:tcW w:w="8506" w:type="dxa"/>
          </w:tcPr>
          <w:p w14:paraId="66D6C370" w14:textId="77777777" w:rsidR="000B6D47" w:rsidRPr="0030117C" w:rsidRDefault="000B6D47" w:rsidP="003A4A4F">
            <w:pPr>
              <w:spacing w:after="0" w:line="240" w:lineRule="auto"/>
              <w:rPr>
                <w:rFonts w:ascii="Arial" w:hAnsi="Arial" w:cs="Arial"/>
                <w:b/>
              </w:rPr>
            </w:pPr>
            <w:r w:rsidRPr="0030117C">
              <w:rPr>
                <w:rFonts w:ascii="Arial" w:hAnsi="Arial" w:cs="Arial"/>
                <w:b/>
              </w:rPr>
              <w:t xml:space="preserve">Guarantees </w:t>
            </w:r>
          </w:p>
        </w:tc>
      </w:tr>
      <w:tr w:rsidR="000B6D47" w:rsidRPr="0030117C" w14:paraId="20652F07" w14:textId="77777777" w:rsidTr="5C450D93">
        <w:tc>
          <w:tcPr>
            <w:tcW w:w="816" w:type="dxa"/>
          </w:tcPr>
          <w:p w14:paraId="351B6B56" w14:textId="77777777" w:rsidR="000B6D47" w:rsidRPr="0030117C" w:rsidRDefault="000B6D47" w:rsidP="003A4A4F">
            <w:pPr>
              <w:spacing w:after="0" w:line="240" w:lineRule="auto"/>
              <w:rPr>
                <w:rFonts w:ascii="Arial" w:hAnsi="Arial" w:cs="Arial"/>
              </w:rPr>
            </w:pPr>
            <w:r w:rsidRPr="0030117C">
              <w:rPr>
                <w:rFonts w:ascii="Arial" w:hAnsi="Arial" w:cs="Arial"/>
              </w:rPr>
              <w:t>6.1</w:t>
            </w:r>
          </w:p>
        </w:tc>
        <w:tc>
          <w:tcPr>
            <w:tcW w:w="8506" w:type="dxa"/>
          </w:tcPr>
          <w:p w14:paraId="4F2F52EA" w14:textId="77777777" w:rsidR="000B6D47" w:rsidRPr="0030117C" w:rsidRDefault="000B6D47" w:rsidP="00CF2470">
            <w:pPr>
              <w:spacing w:after="0" w:line="240" w:lineRule="auto"/>
              <w:jc w:val="both"/>
              <w:rPr>
                <w:rFonts w:ascii="Arial" w:hAnsi="Arial" w:cs="Arial"/>
              </w:rPr>
            </w:pPr>
            <w:r w:rsidRPr="0030117C">
              <w:rPr>
                <w:rFonts w:ascii="Arial" w:hAnsi="Arial" w:cs="Arial"/>
              </w:rPr>
              <w:t>Grant of guarantees and indemnities by the Company other than those issued in the ordinary course of business.</w:t>
            </w:r>
          </w:p>
        </w:tc>
      </w:tr>
      <w:tr w:rsidR="000B6D47" w:rsidRPr="0030117C" w14:paraId="675BAC31" w14:textId="77777777" w:rsidTr="5C450D93">
        <w:tc>
          <w:tcPr>
            <w:tcW w:w="816" w:type="dxa"/>
          </w:tcPr>
          <w:p w14:paraId="1744821B" w14:textId="77777777" w:rsidR="000B6D47" w:rsidRPr="0030117C" w:rsidRDefault="000B6D47" w:rsidP="003A4A4F">
            <w:pPr>
              <w:spacing w:after="0" w:line="240" w:lineRule="auto"/>
              <w:rPr>
                <w:rFonts w:ascii="Arial" w:hAnsi="Arial" w:cs="Arial"/>
              </w:rPr>
            </w:pPr>
            <w:r w:rsidRPr="0030117C">
              <w:rPr>
                <w:rFonts w:ascii="Arial" w:hAnsi="Arial" w:cs="Arial"/>
              </w:rPr>
              <w:t>6.2</w:t>
            </w:r>
          </w:p>
        </w:tc>
        <w:tc>
          <w:tcPr>
            <w:tcW w:w="8506" w:type="dxa"/>
          </w:tcPr>
          <w:p w14:paraId="5A1CC878" w14:textId="77777777" w:rsidR="000B6D47" w:rsidRPr="0030117C" w:rsidRDefault="00C06AA4" w:rsidP="00CF2470">
            <w:pPr>
              <w:spacing w:after="0" w:line="240" w:lineRule="auto"/>
              <w:jc w:val="both"/>
              <w:rPr>
                <w:rFonts w:ascii="Arial" w:hAnsi="Arial" w:cs="Arial"/>
              </w:rPr>
            </w:pPr>
            <w:r w:rsidRPr="0030117C">
              <w:rPr>
                <w:rFonts w:ascii="Arial" w:hAnsi="Arial" w:cs="Arial"/>
              </w:rPr>
              <w:t>M</w:t>
            </w:r>
            <w:r w:rsidR="000B6D47" w:rsidRPr="0030117C">
              <w:rPr>
                <w:rFonts w:ascii="Arial" w:hAnsi="Arial" w:cs="Arial"/>
              </w:rPr>
              <w:t>aterial guarantee or indemnity or contract of suretyship or any other commitment by a</w:t>
            </w:r>
            <w:r w:rsidR="00912DD5" w:rsidRPr="0030117C">
              <w:rPr>
                <w:rFonts w:ascii="Arial" w:hAnsi="Arial" w:cs="Arial"/>
              </w:rPr>
              <w:t xml:space="preserve">ny company in the </w:t>
            </w:r>
            <w:r w:rsidR="000B6D47" w:rsidRPr="0030117C">
              <w:rPr>
                <w:rFonts w:ascii="Arial" w:hAnsi="Arial" w:cs="Arial"/>
              </w:rPr>
              <w:t xml:space="preserve">Group in respect of the due payment of money or the performance of any contract, engagement or obligation of any person or body </w:t>
            </w:r>
            <w:r w:rsidR="002F29D0" w:rsidRPr="0030117C">
              <w:rPr>
                <w:rFonts w:ascii="Arial" w:hAnsi="Arial" w:cs="Arial"/>
              </w:rPr>
              <w:t>(</w:t>
            </w:r>
            <w:r w:rsidR="000B6D47" w:rsidRPr="0030117C">
              <w:rPr>
                <w:rFonts w:ascii="Arial" w:hAnsi="Arial" w:cs="Arial"/>
              </w:rPr>
              <w:t>other than a</w:t>
            </w:r>
            <w:r w:rsidR="00912DD5" w:rsidRPr="0030117C">
              <w:rPr>
                <w:rFonts w:ascii="Arial" w:hAnsi="Arial" w:cs="Arial"/>
              </w:rPr>
              <w:t xml:space="preserve"> </w:t>
            </w:r>
            <w:r w:rsidR="000B6D47" w:rsidRPr="0030117C">
              <w:rPr>
                <w:rFonts w:ascii="Arial" w:hAnsi="Arial" w:cs="Arial"/>
              </w:rPr>
              <w:t>company</w:t>
            </w:r>
            <w:r w:rsidR="00912DD5" w:rsidRPr="0030117C">
              <w:rPr>
                <w:rFonts w:ascii="Arial" w:hAnsi="Arial" w:cs="Arial"/>
              </w:rPr>
              <w:t xml:space="preserve"> in the</w:t>
            </w:r>
            <w:r w:rsidR="003F7B20" w:rsidRPr="0030117C">
              <w:rPr>
                <w:rFonts w:ascii="Arial" w:hAnsi="Arial" w:cs="Arial"/>
              </w:rPr>
              <w:t xml:space="preserve"> </w:t>
            </w:r>
            <w:r w:rsidR="00912DD5" w:rsidRPr="0030117C">
              <w:rPr>
                <w:rFonts w:ascii="Arial" w:hAnsi="Arial" w:cs="Arial"/>
              </w:rPr>
              <w:t>Group</w:t>
            </w:r>
            <w:r w:rsidR="002F29D0" w:rsidRPr="0030117C">
              <w:rPr>
                <w:rFonts w:ascii="Arial" w:hAnsi="Arial" w:cs="Arial"/>
              </w:rPr>
              <w:t>)</w:t>
            </w:r>
            <w:r w:rsidR="000B6D47" w:rsidRPr="0030117C">
              <w:rPr>
                <w:rFonts w:ascii="Arial" w:hAnsi="Arial" w:cs="Arial"/>
              </w:rPr>
              <w:t>, unless in the ordinary course of business.</w:t>
            </w:r>
          </w:p>
        </w:tc>
      </w:tr>
      <w:tr w:rsidR="000B6D47" w:rsidRPr="0030117C" w14:paraId="44E25795" w14:textId="77777777" w:rsidTr="5C450D93">
        <w:tc>
          <w:tcPr>
            <w:tcW w:w="816" w:type="dxa"/>
          </w:tcPr>
          <w:p w14:paraId="133F6B65" w14:textId="77777777" w:rsidR="000B6D47" w:rsidRPr="0030117C" w:rsidRDefault="000B6D47" w:rsidP="003A4A4F">
            <w:pPr>
              <w:spacing w:after="0" w:line="240" w:lineRule="auto"/>
              <w:rPr>
                <w:rFonts w:ascii="Arial" w:hAnsi="Arial" w:cs="Arial"/>
              </w:rPr>
            </w:pPr>
            <w:r w:rsidRPr="0030117C">
              <w:rPr>
                <w:rFonts w:ascii="Arial" w:hAnsi="Arial" w:cs="Arial"/>
              </w:rPr>
              <w:t>6.3</w:t>
            </w:r>
          </w:p>
        </w:tc>
        <w:tc>
          <w:tcPr>
            <w:tcW w:w="8506" w:type="dxa"/>
          </w:tcPr>
          <w:p w14:paraId="7D82E242" w14:textId="77777777" w:rsidR="00AF36BE" w:rsidRPr="0030117C" w:rsidRDefault="00C06AA4" w:rsidP="00CF2470">
            <w:pPr>
              <w:spacing w:after="0" w:line="240" w:lineRule="auto"/>
              <w:jc w:val="both"/>
              <w:rPr>
                <w:rFonts w:ascii="Arial" w:hAnsi="Arial" w:cs="Arial"/>
              </w:rPr>
            </w:pPr>
            <w:r w:rsidRPr="0030117C">
              <w:rPr>
                <w:rFonts w:ascii="Arial" w:hAnsi="Arial" w:cs="Arial"/>
              </w:rPr>
              <w:t>M</w:t>
            </w:r>
            <w:r w:rsidR="000B6D47" w:rsidRPr="0030117C">
              <w:rPr>
                <w:rFonts w:ascii="Arial" w:hAnsi="Arial" w:cs="Arial"/>
              </w:rPr>
              <w:t>ortgage or charge over the whole or any part of the Group’s undertakings other than charges relating solely to settlement and clearing facilities used in the ordinary course of business.</w:t>
            </w:r>
          </w:p>
        </w:tc>
      </w:tr>
      <w:tr w:rsidR="000B6D47" w:rsidRPr="0030117C" w14:paraId="352C42AD" w14:textId="77777777" w:rsidTr="5C450D93">
        <w:tc>
          <w:tcPr>
            <w:tcW w:w="816" w:type="dxa"/>
          </w:tcPr>
          <w:p w14:paraId="75697EEC" w14:textId="77777777" w:rsidR="000B6D47" w:rsidRPr="0030117C" w:rsidRDefault="000B6D47" w:rsidP="003A4A4F">
            <w:pPr>
              <w:spacing w:after="0" w:line="240" w:lineRule="auto"/>
              <w:rPr>
                <w:rFonts w:ascii="Arial" w:hAnsi="Arial" w:cs="Arial"/>
                <w:b/>
              </w:rPr>
            </w:pPr>
            <w:r w:rsidRPr="0030117C">
              <w:rPr>
                <w:rFonts w:ascii="Arial" w:hAnsi="Arial" w:cs="Arial"/>
                <w:b/>
              </w:rPr>
              <w:t>7</w:t>
            </w:r>
          </w:p>
        </w:tc>
        <w:tc>
          <w:tcPr>
            <w:tcW w:w="8506" w:type="dxa"/>
          </w:tcPr>
          <w:p w14:paraId="3CACDAF6" w14:textId="77777777" w:rsidR="000B6D47" w:rsidRPr="0030117C" w:rsidRDefault="000B6D47" w:rsidP="003A4A4F">
            <w:pPr>
              <w:spacing w:after="0" w:line="240" w:lineRule="auto"/>
              <w:rPr>
                <w:rFonts w:ascii="Arial" w:hAnsi="Arial" w:cs="Arial"/>
                <w:b/>
              </w:rPr>
            </w:pPr>
            <w:r w:rsidRPr="0030117C">
              <w:rPr>
                <w:rFonts w:ascii="Arial" w:hAnsi="Arial" w:cs="Arial"/>
                <w:b/>
              </w:rPr>
              <w:t>Communication</w:t>
            </w:r>
          </w:p>
        </w:tc>
      </w:tr>
      <w:tr w:rsidR="000B6D47" w:rsidRPr="0030117C" w14:paraId="1D94CF92" w14:textId="77777777" w:rsidTr="5C450D93">
        <w:tc>
          <w:tcPr>
            <w:tcW w:w="816" w:type="dxa"/>
          </w:tcPr>
          <w:p w14:paraId="4566F55D" w14:textId="77777777" w:rsidR="000B6D47" w:rsidRPr="0030117C" w:rsidRDefault="000B6D47" w:rsidP="003A4A4F">
            <w:pPr>
              <w:spacing w:after="0" w:line="240" w:lineRule="auto"/>
              <w:rPr>
                <w:rFonts w:ascii="Arial" w:hAnsi="Arial" w:cs="Arial"/>
              </w:rPr>
            </w:pPr>
            <w:r w:rsidRPr="0030117C">
              <w:rPr>
                <w:rFonts w:ascii="Arial" w:hAnsi="Arial" w:cs="Arial"/>
              </w:rPr>
              <w:t>7.1</w:t>
            </w:r>
          </w:p>
        </w:tc>
        <w:tc>
          <w:tcPr>
            <w:tcW w:w="8506" w:type="dxa"/>
          </w:tcPr>
          <w:p w14:paraId="7192B08A" w14:textId="77777777" w:rsidR="000B6D47" w:rsidRPr="0030117C" w:rsidRDefault="00C06AA4" w:rsidP="00CF2470">
            <w:pPr>
              <w:spacing w:after="0" w:line="240" w:lineRule="auto"/>
              <w:jc w:val="both"/>
              <w:rPr>
                <w:rFonts w:ascii="Arial" w:hAnsi="Arial" w:cs="Arial"/>
              </w:rPr>
            </w:pPr>
            <w:r w:rsidRPr="0030117C">
              <w:rPr>
                <w:rFonts w:ascii="Arial" w:hAnsi="Arial" w:cs="Arial"/>
              </w:rPr>
              <w:t>R</w:t>
            </w:r>
            <w:r w:rsidR="000B6D47" w:rsidRPr="0030117C">
              <w:rPr>
                <w:rFonts w:ascii="Arial" w:hAnsi="Arial" w:cs="Arial"/>
              </w:rPr>
              <w:t xml:space="preserve">esolutions and corresponding documentation to be put forward to shareholders </w:t>
            </w:r>
            <w:r w:rsidR="00E02430" w:rsidRPr="0030117C">
              <w:rPr>
                <w:rFonts w:ascii="Arial" w:hAnsi="Arial" w:cs="Arial"/>
              </w:rPr>
              <w:t>of the</w:t>
            </w:r>
            <w:r w:rsidR="003F7B20" w:rsidRPr="0030117C">
              <w:rPr>
                <w:rFonts w:ascii="Arial" w:hAnsi="Arial" w:cs="Arial"/>
              </w:rPr>
              <w:t xml:space="preserve"> </w:t>
            </w:r>
            <w:r w:rsidR="00E02430" w:rsidRPr="0030117C">
              <w:rPr>
                <w:rFonts w:ascii="Arial" w:hAnsi="Arial" w:cs="Arial"/>
              </w:rPr>
              <w:t xml:space="preserve">Company </w:t>
            </w:r>
            <w:r w:rsidR="000B6D47" w:rsidRPr="0030117C">
              <w:rPr>
                <w:rFonts w:ascii="Arial" w:hAnsi="Arial" w:cs="Arial"/>
              </w:rPr>
              <w:t>at a general meeting.</w:t>
            </w:r>
          </w:p>
        </w:tc>
      </w:tr>
      <w:tr w:rsidR="000B6D47" w:rsidRPr="0030117C" w14:paraId="2685B05B" w14:textId="77777777" w:rsidTr="5C450D93">
        <w:tc>
          <w:tcPr>
            <w:tcW w:w="816" w:type="dxa"/>
          </w:tcPr>
          <w:p w14:paraId="33FEB448" w14:textId="77777777" w:rsidR="000B6D47" w:rsidRPr="0030117C" w:rsidRDefault="35C63A43" w:rsidP="003A4A4F">
            <w:pPr>
              <w:spacing w:after="0" w:line="240" w:lineRule="auto"/>
              <w:rPr>
                <w:rFonts w:ascii="Arial" w:hAnsi="Arial" w:cs="Arial"/>
              </w:rPr>
            </w:pPr>
            <w:r w:rsidRPr="2BE163B1">
              <w:rPr>
                <w:rFonts w:ascii="Arial" w:hAnsi="Arial" w:cs="Arial"/>
              </w:rPr>
              <w:t>7.2</w:t>
            </w:r>
          </w:p>
        </w:tc>
        <w:tc>
          <w:tcPr>
            <w:tcW w:w="8506" w:type="dxa"/>
          </w:tcPr>
          <w:p w14:paraId="36B35867" w14:textId="21E03B48" w:rsidR="000B6D47" w:rsidRPr="0030117C" w:rsidRDefault="12962E15" w:rsidP="00CF2470">
            <w:pPr>
              <w:spacing w:after="0" w:line="240" w:lineRule="auto"/>
              <w:jc w:val="both"/>
              <w:rPr>
                <w:rFonts w:ascii="Arial" w:hAnsi="Arial" w:cs="Arial"/>
              </w:rPr>
            </w:pPr>
            <w:r w:rsidRPr="2BE163B1">
              <w:rPr>
                <w:rFonts w:ascii="Arial" w:hAnsi="Arial" w:cs="Arial"/>
              </w:rPr>
              <w:t xml:space="preserve">Announcements to the London Stock Exchange </w:t>
            </w:r>
            <w:r w:rsidR="090EC7BC" w:rsidRPr="2BE163B1">
              <w:rPr>
                <w:rFonts w:ascii="Arial" w:hAnsi="Arial" w:cs="Arial"/>
              </w:rPr>
              <w:t xml:space="preserve">concerning </w:t>
            </w:r>
            <w:r w:rsidR="332A578A" w:rsidRPr="26959BF4">
              <w:rPr>
                <w:rFonts w:ascii="Arial" w:hAnsi="Arial" w:cs="Arial"/>
              </w:rPr>
              <w:t>M</w:t>
            </w:r>
            <w:r w:rsidR="586EBE34" w:rsidRPr="26959BF4">
              <w:rPr>
                <w:rFonts w:ascii="Arial" w:hAnsi="Arial" w:cs="Arial"/>
              </w:rPr>
              <w:t xml:space="preserve">atters </w:t>
            </w:r>
            <w:r w:rsidR="00358ABB" w:rsidRPr="26959BF4">
              <w:rPr>
                <w:rFonts w:ascii="Arial" w:hAnsi="Arial" w:cs="Arial"/>
              </w:rPr>
              <w:t>R</w:t>
            </w:r>
            <w:r w:rsidR="326433C9" w:rsidRPr="2BE163B1">
              <w:rPr>
                <w:rFonts w:ascii="Arial" w:hAnsi="Arial" w:cs="Arial"/>
              </w:rPr>
              <w:t>eserved</w:t>
            </w:r>
            <w:r w:rsidR="586EBE34" w:rsidRPr="2BE163B1">
              <w:rPr>
                <w:rFonts w:ascii="Arial" w:hAnsi="Arial" w:cs="Arial"/>
              </w:rPr>
              <w:t xml:space="preserve"> </w:t>
            </w:r>
            <w:r w:rsidR="47646334" w:rsidRPr="2BE163B1">
              <w:rPr>
                <w:rFonts w:ascii="Arial" w:hAnsi="Arial" w:cs="Arial"/>
              </w:rPr>
              <w:t>to</w:t>
            </w:r>
            <w:r w:rsidR="10CFCF35" w:rsidRPr="2BE163B1">
              <w:rPr>
                <w:rFonts w:ascii="Arial" w:hAnsi="Arial" w:cs="Arial"/>
              </w:rPr>
              <w:t xml:space="preserve"> </w:t>
            </w:r>
            <w:r w:rsidR="586EBE34" w:rsidRPr="2BE163B1">
              <w:rPr>
                <w:rFonts w:ascii="Arial" w:hAnsi="Arial" w:cs="Arial"/>
              </w:rPr>
              <w:t>the</w:t>
            </w:r>
            <w:r w:rsidR="0A8AACC4" w:rsidRPr="2BE163B1">
              <w:rPr>
                <w:rFonts w:ascii="Arial" w:hAnsi="Arial" w:cs="Arial"/>
              </w:rPr>
              <w:t xml:space="preserve"> Board,</w:t>
            </w:r>
            <w:r w:rsidRPr="2BE163B1">
              <w:rPr>
                <w:rFonts w:ascii="Arial" w:hAnsi="Arial" w:cs="Arial"/>
              </w:rPr>
              <w:t xml:space="preserve"> or the disclosure of inside information.</w:t>
            </w:r>
          </w:p>
        </w:tc>
      </w:tr>
      <w:tr w:rsidR="000B6D47" w:rsidRPr="0030117C" w14:paraId="1F2B74CA" w14:textId="77777777" w:rsidTr="5C450D93">
        <w:tc>
          <w:tcPr>
            <w:tcW w:w="816" w:type="dxa"/>
          </w:tcPr>
          <w:p w14:paraId="52CA237E" w14:textId="77777777" w:rsidR="000B6D47" w:rsidRPr="0030117C" w:rsidRDefault="000B6D47" w:rsidP="003A4A4F">
            <w:pPr>
              <w:spacing w:after="0" w:line="240" w:lineRule="auto"/>
              <w:rPr>
                <w:rFonts w:ascii="Arial" w:hAnsi="Arial" w:cs="Arial"/>
              </w:rPr>
            </w:pPr>
            <w:r w:rsidRPr="0030117C">
              <w:rPr>
                <w:rFonts w:ascii="Arial" w:hAnsi="Arial" w:cs="Arial"/>
              </w:rPr>
              <w:t>7.3</w:t>
            </w:r>
          </w:p>
        </w:tc>
        <w:tc>
          <w:tcPr>
            <w:tcW w:w="8506" w:type="dxa"/>
          </w:tcPr>
          <w:p w14:paraId="731C664A" w14:textId="77777777" w:rsidR="00193D6E" w:rsidRPr="0030117C" w:rsidRDefault="00C06AA4" w:rsidP="00CF2470">
            <w:pPr>
              <w:spacing w:after="0" w:line="240" w:lineRule="auto"/>
              <w:jc w:val="both"/>
              <w:rPr>
                <w:rFonts w:ascii="Arial" w:hAnsi="Arial" w:cs="Arial"/>
              </w:rPr>
            </w:pPr>
            <w:r w:rsidRPr="0030117C">
              <w:rPr>
                <w:rFonts w:ascii="Arial" w:hAnsi="Arial" w:cs="Arial"/>
              </w:rPr>
              <w:t>A</w:t>
            </w:r>
            <w:r w:rsidR="000B6D47" w:rsidRPr="0030117C">
              <w:rPr>
                <w:rFonts w:ascii="Arial" w:hAnsi="Arial" w:cs="Arial"/>
              </w:rPr>
              <w:t>ll circulars, prospectuses and listing particulars</w:t>
            </w:r>
            <w:r w:rsidR="00E02430" w:rsidRPr="0030117C">
              <w:rPr>
                <w:rFonts w:ascii="Arial" w:hAnsi="Arial" w:cs="Arial"/>
              </w:rPr>
              <w:t xml:space="preserve"> for the Company</w:t>
            </w:r>
            <w:r w:rsidR="000B6D47" w:rsidRPr="0030117C">
              <w:rPr>
                <w:rFonts w:ascii="Arial" w:hAnsi="Arial" w:cs="Arial"/>
              </w:rPr>
              <w:t xml:space="preserve"> (other than routine documents).</w:t>
            </w:r>
          </w:p>
        </w:tc>
      </w:tr>
      <w:tr w:rsidR="000B6D47" w:rsidRPr="0030117C" w14:paraId="1F3FEF55" w14:textId="77777777" w:rsidTr="5C450D93">
        <w:tc>
          <w:tcPr>
            <w:tcW w:w="816" w:type="dxa"/>
          </w:tcPr>
          <w:p w14:paraId="44B0A208" w14:textId="77777777" w:rsidR="000B6D47" w:rsidRPr="0030117C" w:rsidRDefault="000B6D47" w:rsidP="2BE163B1">
            <w:pPr>
              <w:spacing w:after="0" w:line="240" w:lineRule="auto"/>
              <w:rPr>
                <w:rFonts w:ascii="Arial" w:hAnsi="Arial" w:cs="Arial"/>
                <w:b/>
                <w:bCs/>
              </w:rPr>
            </w:pPr>
            <w:r w:rsidRPr="2BE163B1">
              <w:rPr>
                <w:rFonts w:ascii="Arial" w:hAnsi="Arial" w:cs="Arial"/>
                <w:b/>
                <w:bCs/>
              </w:rPr>
              <w:t>8</w:t>
            </w:r>
          </w:p>
        </w:tc>
        <w:tc>
          <w:tcPr>
            <w:tcW w:w="8506" w:type="dxa"/>
          </w:tcPr>
          <w:p w14:paraId="068DD944" w14:textId="77777777" w:rsidR="000B6D47" w:rsidRPr="0030117C" w:rsidRDefault="000B6D47" w:rsidP="2BE163B1">
            <w:pPr>
              <w:spacing w:after="0" w:line="240" w:lineRule="auto"/>
              <w:rPr>
                <w:rFonts w:ascii="Arial" w:hAnsi="Arial" w:cs="Arial"/>
                <w:b/>
                <w:bCs/>
              </w:rPr>
            </w:pPr>
            <w:r w:rsidRPr="2BE163B1">
              <w:rPr>
                <w:rFonts w:ascii="Arial" w:hAnsi="Arial" w:cs="Arial"/>
                <w:b/>
                <w:bCs/>
              </w:rPr>
              <w:t>Remuneration (following recommendation from the Remuneration Committee)</w:t>
            </w:r>
          </w:p>
        </w:tc>
      </w:tr>
      <w:tr w:rsidR="000B6D47" w:rsidRPr="0030117C" w14:paraId="13296DBE" w14:textId="77777777" w:rsidTr="5C450D93">
        <w:tc>
          <w:tcPr>
            <w:tcW w:w="816" w:type="dxa"/>
          </w:tcPr>
          <w:p w14:paraId="110C7173" w14:textId="77777777" w:rsidR="000B6D47" w:rsidRPr="0030117C" w:rsidRDefault="000B6D47" w:rsidP="003A4A4F">
            <w:pPr>
              <w:spacing w:after="0" w:line="240" w:lineRule="auto"/>
              <w:rPr>
                <w:rFonts w:ascii="Arial" w:hAnsi="Arial" w:cs="Arial"/>
              </w:rPr>
            </w:pPr>
            <w:r w:rsidRPr="0030117C">
              <w:rPr>
                <w:rFonts w:ascii="Arial" w:hAnsi="Arial" w:cs="Arial"/>
              </w:rPr>
              <w:t>8.1</w:t>
            </w:r>
          </w:p>
        </w:tc>
        <w:tc>
          <w:tcPr>
            <w:tcW w:w="8506" w:type="dxa"/>
          </w:tcPr>
          <w:p w14:paraId="18E54F52" w14:textId="4FCCF633" w:rsidR="000B6D47" w:rsidRPr="0030117C" w:rsidRDefault="00193D6E" w:rsidP="00CF2470">
            <w:pPr>
              <w:spacing w:after="0" w:line="240" w:lineRule="auto"/>
              <w:jc w:val="both"/>
              <w:rPr>
                <w:rFonts w:ascii="Arial" w:hAnsi="Arial" w:cs="Arial"/>
              </w:rPr>
            </w:pPr>
            <w:r w:rsidRPr="0030117C">
              <w:rPr>
                <w:rFonts w:ascii="Arial" w:hAnsi="Arial" w:cs="Arial"/>
              </w:rPr>
              <w:t>Recommend</w:t>
            </w:r>
            <w:r w:rsidR="000B6D47" w:rsidRPr="0030117C">
              <w:rPr>
                <w:rFonts w:ascii="Arial" w:hAnsi="Arial" w:cs="Arial"/>
              </w:rPr>
              <w:t xml:space="preserve"> the Directors’ </w:t>
            </w:r>
            <w:r w:rsidRPr="0030117C">
              <w:rPr>
                <w:rFonts w:ascii="Arial" w:hAnsi="Arial" w:cs="Arial"/>
              </w:rPr>
              <w:t>R</w:t>
            </w:r>
            <w:r w:rsidR="000B6D47" w:rsidRPr="0030117C">
              <w:rPr>
                <w:rFonts w:ascii="Arial" w:hAnsi="Arial" w:cs="Arial"/>
              </w:rPr>
              <w:t xml:space="preserve">emuneration </w:t>
            </w:r>
            <w:r w:rsidRPr="0030117C">
              <w:rPr>
                <w:rFonts w:ascii="Arial" w:hAnsi="Arial" w:cs="Arial"/>
              </w:rPr>
              <w:t>P</w:t>
            </w:r>
            <w:r w:rsidR="000B6D47" w:rsidRPr="0030117C">
              <w:rPr>
                <w:rFonts w:ascii="Arial" w:hAnsi="Arial" w:cs="Arial"/>
              </w:rPr>
              <w:t>olicy</w:t>
            </w:r>
            <w:r w:rsidRPr="0030117C">
              <w:rPr>
                <w:rFonts w:ascii="Arial" w:hAnsi="Arial" w:cs="Arial"/>
              </w:rPr>
              <w:t xml:space="preserve"> for approval by shareholders</w:t>
            </w:r>
            <w:r w:rsidR="008F4C63">
              <w:rPr>
                <w:rFonts w:ascii="Arial" w:hAnsi="Arial" w:cs="Arial"/>
              </w:rPr>
              <w:t xml:space="preserve"> (every three years)</w:t>
            </w:r>
            <w:r w:rsidR="009669E8" w:rsidRPr="0030117C">
              <w:rPr>
                <w:rFonts w:ascii="Arial" w:hAnsi="Arial" w:cs="Arial"/>
              </w:rPr>
              <w:t>.</w:t>
            </w:r>
            <w:r w:rsidR="000B6D47" w:rsidRPr="0030117C">
              <w:rPr>
                <w:rFonts w:ascii="Arial" w:hAnsi="Arial" w:cs="Arial"/>
              </w:rPr>
              <w:t xml:space="preserve"> </w:t>
            </w:r>
          </w:p>
        </w:tc>
      </w:tr>
      <w:tr w:rsidR="000B6D47" w:rsidRPr="0030117C" w14:paraId="0EB17009" w14:textId="77777777" w:rsidTr="5C450D93">
        <w:tc>
          <w:tcPr>
            <w:tcW w:w="816" w:type="dxa"/>
          </w:tcPr>
          <w:p w14:paraId="1294EA91" w14:textId="77777777" w:rsidR="000B6D47" w:rsidRPr="0030117C" w:rsidRDefault="000B6D47" w:rsidP="003A4A4F">
            <w:pPr>
              <w:spacing w:after="0" w:line="240" w:lineRule="auto"/>
              <w:rPr>
                <w:rFonts w:ascii="Arial" w:hAnsi="Arial" w:cs="Arial"/>
              </w:rPr>
            </w:pPr>
            <w:r w:rsidRPr="0030117C">
              <w:rPr>
                <w:rFonts w:ascii="Arial" w:hAnsi="Arial" w:cs="Arial"/>
              </w:rPr>
              <w:t>8.2</w:t>
            </w:r>
          </w:p>
        </w:tc>
        <w:tc>
          <w:tcPr>
            <w:tcW w:w="8506" w:type="dxa"/>
          </w:tcPr>
          <w:p w14:paraId="700CCECB" w14:textId="77777777" w:rsidR="000B6D47" w:rsidRPr="0030117C" w:rsidRDefault="000B6D47" w:rsidP="00CF2470">
            <w:pPr>
              <w:spacing w:after="0" w:line="240" w:lineRule="auto"/>
              <w:jc w:val="both"/>
              <w:rPr>
                <w:rFonts w:ascii="Arial" w:hAnsi="Arial" w:cs="Arial"/>
              </w:rPr>
            </w:pPr>
            <w:r w:rsidRPr="0030117C">
              <w:rPr>
                <w:rFonts w:ascii="Arial" w:hAnsi="Arial" w:cs="Arial"/>
              </w:rPr>
              <w:t>Determin</w:t>
            </w:r>
            <w:r w:rsidR="00C06AA4" w:rsidRPr="0030117C">
              <w:rPr>
                <w:rFonts w:ascii="Arial" w:hAnsi="Arial" w:cs="Arial"/>
              </w:rPr>
              <w:t>e</w:t>
            </w:r>
            <w:r w:rsidRPr="0030117C">
              <w:rPr>
                <w:rFonts w:ascii="Arial" w:hAnsi="Arial" w:cs="Arial"/>
              </w:rPr>
              <w:t xml:space="preserve"> the remuneration of the </w:t>
            </w:r>
            <w:r w:rsidR="00815301">
              <w:rPr>
                <w:rFonts w:ascii="Arial" w:hAnsi="Arial" w:cs="Arial"/>
              </w:rPr>
              <w:t>N</w:t>
            </w:r>
            <w:r w:rsidRPr="0030117C">
              <w:rPr>
                <w:rFonts w:ascii="Arial" w:hAnsi="Arial" w:cs="Arial"/>
              </w:rPr>
              <w:t>on-</w:t>
            </w:r>
            <w:r w:rsidR="009D6577">
              <w:rPr>
                <w:rFonts w:ascii="Arial" w:hAnsi="Arial" w:cs="Arial"/>
              </w:rPr>
              <w:t>E</w:t>
            </w:r>
            <w:r w:rsidRPr="0030117C">
              <w:rPr>
                <w:rFonts w:ascii="Arial" w:hAnsi="Arial" w:cs="Arial"/>
              </w:rPr>
              <w:t xml:space="preserve">xecutive </w:t>
            </w:r>
            <w:r w:rsidR="009D6577">
              <w:rPr>
                <w:rFonts w:ascii="Arial" w:hAnsi="Arial" w:cs="Arial"/>
              </w:rPr>
              <w:t>D</w:t>
            </w:r>
            <w:r w:rsidRPr="0030117C">
              <w:rPr>
                <w:rFonts w:ascii="Arial" w:hAnsi="Arial" w:cs="Arial"/>
              </w:rPr>
              <w:t xml:space="preserve">irectors, subject to the </w:t>
            </w:r>
            <w:r w:rsidR="004E5E86">
              <w:rPr>
                <w:rFonts w:ascii="Arial" w:hAnsi="Arial" w:cs="Arial"/>
              </w:rPr>
              <w:t>A</w:t>
            </w:r>
            <w:r w:rsidRPr="0030117C">
              <w:rPr>
                <w:rFonts w:ascii="Arial" w:hAnsi="Arial" w:cs="Arial"/>
              </w:rPr>
              <w:t xml:space="preserve">rticles of </w:t>
            </w:r>
            <w:r w:rsidR="004E5E86">
              <w:rPr>
                <w:rFonts w:ascii="Arial" w:hAnsi="Arial" w:cs="Arial"/>
              </w:rPr>
              <w:t>A</w:t>
            </w:r>
            <w:r w:rsidRPr="0030117C">
              <w:rPr>
                <w:rFonts w:ascii="Arial" w:hAnsi="Arial" w:cs="Arial"/>
              </w:rPr>
              <w:t>ssociation and shareholder approval</w:t>
            </w:r>
            <w:r w:rsidR="00272109">
              <w:rPr>
                <w:rFonts w:ascii="Arial" w:hAnsi="Arial" w:cs="Arial"/>
              </w:rPr>
              <w:t>,</w:t>
            </w:r>
            <w:r w:rsidRPr="0030117C">
              <w:rPr>
                <w:rFonts w:ascii="Arial" w:hAnsi="Arial" w:cs="Arial"/>
              </w:rPr>
              <w:t xml:space="preserve"> as appropriate.</w:t>
            </w:r>
          </w:p>
        </w:tc>
      </w:tr>
      <w:tr w:rsidR="000B6D47" w:rsidRPr="0030117C" w14:paraId="4CA327F4" w14:textId="77777777" w:rsidTr="5C450D93">
        <w:tc>
          <w:tcPr>
            <w:tcW w:w="816" w:type="dxa"/>
          </w:tcPr>
          <w:p w14:paraId="72D5177F" w14:textId="77777777" w:rsidR="000B6D47" w:rsidRPr="0030117C" w:rsidRDefault="000B6D47" w:rsidP="003A4A4F">
            <w:pPr>
              <w:spacing w:after="0" w:line="240" w:lineRule="auto"/>
              <w:rPr>
                <w:rFonts w:ascii="Arial" w:hAnsi="Arial" w:cs="Arial"/>
              </w:rPr>
            </w:pPr>
            <w:r w:rsidRPr="0030117C">
              <w:rPr>
                <w:rFonts w:ascii="Arial" w:hAnsi="Arial" w:cs="Arial"/>
              </w:rPr>
              <w:t>8.3</w:t>
            </w:r>
          </w:p>
        </w:tc>
        <w:tc>
          <w:tcPr>
            <w:tcW w:w="8506" w:type="dxa"/>
          </w:tcPr>
          <w:p w14:paraId="4E3B9648" w14:textId="77777777" w:rsidR="000B6D47" w:rsidRPr="0030117C" w:rsidRDefault="000B6D47" w:rsidP="00CF2470">
            <w:pPr>
              <w:spacing w:after="0" w:line="240" w:lineRule="auto"/>
              <w:jc w:val="both"/>
              <w:rPr>
                <w:rFonts w:ascii="Arial" w:hAnsi="Arial" w:cs="Arial"/>
              </w:rPr>
            </w:pPr>
            <w:r w:rsidRPr="0030117C">
              <w:rPr>
                <w:rFonts w:ascii="Arial" w:hAnsi="Arial" w:cs="Arial"/>
              </w:rPr>
              <w:t>The introduction of new share incentive plans or major changes to existing plans, to be put to shareholders for approval.</w:t>
            </w:r>
          </w:p>
        </w:tc>
      </w:tr>
      <w:tr w:rsidR="00A86359" w:rsidRPr="0030117C" w14:paraId="7BC94640" w14:textId="77777777" w:rsidTr="5C450D93">
        <w:tc>
          <w:tcPr>
            <w:tcW w:w="816" w:type="dxa"/>
          </w:tcPr>
          <w:p w14:paraId="2B2B7304" w14:textId="77777777" w:rsidR="00A86359" w:rsidRPr="0030117C" w:rsidRDefault="00A86359" w:rsidP="003A4A4F">
            <w:pPr>
              <w:spacing w:after="0" w:line="240" w:lineRule="auto"/>
              <w:rPr>
                <w:rFonts w:ascii="Arial" w:hAnsi="Arial" w:cs="Arial"/>
                <w:b/>
              </w:rPr>
            </w:pPr>
            <w:r w:rsidRPr="0030117C">
              <w:rPr>
                <w:rFonts w:ascii="Arial" w:hAnsi="Arial" w:cs="Arial"/>
                <w:b/>
              </w:rPr>
              <w:t>9</w:t>
            </w:r>
          </w:p>
        </w:tc>
        <w:tc>
          <w:tcPr>
            <w:tcW w:w="8506" w:type="dxa"/>
          </w:tcPr>
          <w:p w14:paraId="331375D0" w14:textId="77777777" w:rsidR="00A86359" w:rsidRPr="0030117C" w:rsidRDefault="00A86359" w:rsidP="003A4A4F">
            <w:pPr>
              <w:spacing w:after="0" w:line="240" w:lineRule="auto"/>
              <w:rPr>
                <w:rFonts w:ascii="Arial" w:hAnsi="Arial" w:cs="Arial"/>
                <w:b/>
              </w:rPr>
            </w:pPr>
            <w:r w:rsidRPr="0030117C">
              <w:rPr>
                <w:rFonts w:ascii="Arial" w:hAnsi="Arial" w:cs="Arial"/>
                <w:b/>
              </w:rPr>
              <w:t xml:space="preserve">Board </w:t>
            </w:r>
            <w:r w:rsidR="00F45F5C" w:rsidRPr="0030117C">
              <w:rPr>
                <w:rFonts w:ascii="Arial" w:hAnsi="Arial" w:cs="Arial"/>
                <w:b/>
              </w:rPr>
              <w:t>M</w:t>
            </w:r>
            <w:r w:rsidRPr="0030117C">
              <w:rPr>
                <w:rFonts w:ascii="Arial" w:hAnsi="Arial" w:cs="Arial"/>
                <w:b/>
              </w:rPr>
              <w:t xml:space="preserve">embership and other </w:t>
            </w:r>
            <w:r w:rsidR="00F45F5C" w:rsidRPr="0030117C">
              <w:rPr>
                <w:rFonts w:ascii="Arial" w:hAnsi="Arial" w:cs="Arial"/>
                <w:b/>
              </w:rPr>
              <w:t>A</w:t>
            </w:r>
            <w:r w:rsidRPr="0030117C">
              <w:rPr>
                <w:rFonts w:ascii="Arial" w:hAnsi="Arial" w:cs="Arial"/>
                <w:b/>
              </w:rPr>
              <w:t>ppointments</w:t>
            </w:r>
          </w:p>
        </w:tc>
      </w:tr>
      <w:tr w:rsidR="00A86359" w:rsidRPr="0030117C" w14:paraId="5D781943" w14:textId="77777777" w:rsidTr="5C450D93">
        <w:tc>
          <w:tcPr>
            <w:tcW w:w="816" w:type="dxa"/>
          </w:tcPr>
          <w:p w14:paraId="093CC48D" w14:textId="77777777" w:rsidR="00A86359" w:rsidRPr="0030117C" w:rsidRDefault="00A86359" w:rsidP="003A4A4F">
            <w:pPr>
              <w:spacing w:after="0" w:line="240" w:lineRule="auto"/>
              <w:rPr>
                <w:rFonts w:ascii="Arial" w:hAnsi="Arial" w:cs="Arial"/>
              </w:rPr>
            </w:pPr>
            <w:r w:rsidRPr="0030117C">
              <w:rPr>
                <w:rFonts w:ascii="Arial" w:hAnsi="Arial" w:cs="Arial"/>
              </w:rPr>
              <w:t>9.1</w:t>
            </w:r>
          </w:p>
        </w:tc>
        <w:tc>
          <w:tcPr>
            <w:tcW w:w="8506" w:type="dxa"/>
          </w:tcPr>
          <w:p w14:paraId="67EF26AE" w14:textId="522CAB3D" w:rsidR="00A86359" w:rsidRPr="0030117C" w:rsidRDefault="00C06AA4" w:rsidP="00CF2470">
            <w:pPr>
              <w:spacing w:after="0" w:line="240" w:lineRule="auto"/>
              <w:jc w:val="both"/>
              <w:rPr>
                <w:rFonts w:ascii="Arial" w:hAnsi="Arial" w:cs="Arial"/>
              </w:rPr>
            </w:pPr>
            <w:r w:rsidRPr="34100F9C">
              <w:rPr>
                <w:rFonts w:ascii="Arial" w:hAnsi="Arial" w:cs="Arial"/>
              </w:rPr>
              <w:t>C</w:t>
            </w:r>
            <w:r w:rsidR="00A86359" w:rsidRPr="34100F9C">
              <w:rPr>
                <w:rFonts w:ascii="Arial" w:hAnsi="Arial" w:cs="Arial"/>
              </w:rPr>
              <w:t>hanges to the structure, size and composition of the Board following recommendation from the Nomination Committee.</w:t>
            </w:r>
          </w:p>
        </w:tc>
      </w:tr>
      <w:tr w:rsidR="00A86359" w:rsidRPr="0030117C" w14:paraId="4D23C3EA" w14:textId="77777777" w:rsidTr="5C450D93">
        <w:tc>
          <w:tcPr>
            <w:tcW w:w="816" w:type="dxa"/>
          </w:tcPr>
          <w:p w14:paraId="29A4AA1C" w14:textId="77777777" w:rsidR="00A86359" w:rsidRPr="0030117C" w:rsidRDefault="00A86359" w:rsidP="003A4A4F">
            <w:pPr>
              <w:spacing w:after="0" w:line="240" w:lineRule="auto"/>
              <w:rPr>
                <w:rFonts w:ascii="Arial" w:hAnsi="Arial" w:cs="Arial"/>
              </w:rPr>
            </w:pPr>
            <w:r w:rsidRPr="0030117C">
              <w:rPr>
                <w:rFonts w:ascii="Arial" w:hAnsi="Arial" w:cs="Arial"/>
              </w:rPr>
              <w:t>9.2</w:t>
            </w:r>
          </w:p>
        </w:tc>
        <w:tc>
          <w:tcPr>
            <w:tcW w:w="8506" w:type="dxa"/>
          </w:tcPr>
          <w:p w14:paraId="44AE5D81" w14:textId="324F08E2" w:rsidR="00A86359" w:rsidRPr="0030117C" w:rsidRDefault="00C06AA4" w:rsidP="00CF2470">
            <w:pPr>
              <w:spacing w:after="0" w:line="240" w:lineRule="auto"/>
              <w:jc w:val="both"/>
              <w:rPr>
                <w:rFonts w:ascii="Arial" w:hAnsi="Arial" w:cs="Arial"/>
              </w:rPr>
            </w:pPr>
            <w:r w:rsidRPr="0030117C">
              <w:rPr>
                <w:rFonts w:ascii="Arial" w:hAnsi="Arial" w:cs="Arial"/>
              </w:rPr>
              <w:t>M</w:t>
            </w:r>
            <w:r w:rsidR="00A86359" w:rsidRPr="0030117C">
              <w:rPr>
                <w:rFonts w:ascii="Arial" w:hAnsi="Arial" w:cs="Arial"/>
              </w:rPr>
              <w:t>embership and Chairship of Board Committees following recommendation from the Nomination Committee.</w:t>
            </w:r>
          </w:p>
        </w:tc>
      </w:tr>
      <w:tr w:rsidR="34100F9C" w14:paraId="75D354B0" w14:textId="77777777" w:rsidTr="5C450D93">
        <w:trPr>
          <w:trHeight w:val="300"/>
        </w:trPr>
        <w:tc>
          <w:tcPr>
            <w:tcW w:w="816" w:type="dxa"/>
          </w:tcPr>
          <w:p w14:paraId="3A18106A" w14:textId="16F7509D" w:rsidR="4380DBC1" w:rsidRDefault="4380DBC1" w:rsidP="00BD6BBB">
            <w:pPr>
              <w:spacing w:after="0" w:line="240" w:lineRule="auto"/>
              <w:rPr>
                <w:rFonts w:ascii="Arial" w:hAnsi="Arial" w:cs="Arial"/>
              </w:rPr>
            </w:pPr>
            <w:r w:rsidRPr="34100F9C">
              <w:rPr>
                <w:rFonts w:ascii="Arial" w:hAnsi="Arial" w:cs="Arial"/>
              </w:rPr>
              <w:t>9.3</w:t>
            </w:r>
          </w:p>
        </w:tc>
        <w:tc>
          <w:tcPr>
            <w:tcW w:w="8506" w:type="dxa"/>
          </w:tcPr>
          <w:p w14:paraId="0FCFB0A7" w14:textId="0B7D4F8D" w:rsidR="4380DBC1" w:rsidRDefault="4380DBC1" w:rsidP="00BD6BBB">
            <w:pPr>
              <w:spacing w:after="0" w:line="240" w:lineRule="auto"/>
              <w:jc w:val="both"/>
              <w:rPr>
                <w:rFonts w:ascii="Arial" w:hAnsi="Arial" w:cs="Arial"/>
              </w:rPr>
            </w:pPr>
            <w:r w:rsidRPr="2BE163B1">
              <w:rPr>
                <w:rFonts w:ascii="Arial" w:hAnsi="Arial" w:cs="Arial"/>
              </w:rPr>
              <w:t>Consider recommendations from the Nomination Committee in respect of succession planning for Directors</w:t>
            </w:r>
            <w:r w:rsidR="00CE21E1">
              <w:rPr>
                <w:rFonts w:ascii="Arial" w:hAnsi="Arial" w:cs="Arial"/>
              </w:rPr>
              <w:t xml:space="preserve"> and </w:t>
            </w:r>
            <w:r w:rsidR="00CE21E1" w:rsidRPr="2BE163B1">
              <w:rPr>
                <w:rFonts w:ascii="Arial" w:hAnsi="Arial" w:cs="Arial"/>
              </w:rPr>
              <w:t>consider and approve suitable candidates as new Directors</w:t>
            </w:r>
            <w:r w:rsidRPr="2BE163B1">
              <w:rPr>
                <w:rFonts w:ascii="Arial" w:hAnsi="Arial" w:cs="Arial"/>
              </w:rPr>
              <w:t>.</w:t>
            </w:r>
          </w:p>
        </w:tc>
      </w:tr>
      <w:tr w:rsidR="34100F9C" w14:paraId="211FCD34" w14:textId="77777777" w:rsidTr="5C450D93">
        <w:trPr>
          <w:trHeight w:val="300"/>
        </w:trPr>
        <w:tc>
          <w:tcPr>
            <w:tcW w:w="816" w:type="dxa"/>
          </w:tcPr>
          <w:p w14:paraId="2F1EEAF3" w14:textId="04C5B4F3" w:rsidR="7C1ED397" w:rsidRDefault="7C1ED397" w:rsidP="00BD6BBB">
            <w:pPr>
              <w:spacing w:after="0" w:line="240" w:lineRule="auto"/>
              <w:rPr>
                <w:rFonts w:ascii="Arial" w:hAnsi="Arial" w:cs="Arial"/>
              </w:rPr>
            </w:pPr>
            <w:r w:rsidRPr="34100F9C">
              <w:rPr>
                <w:rFonts w:ascii="Arial" w:hAnsi="Arial" w:cs="Arial"/>
              </w:rPr>
              <w:t>9.</w:t>
            </w:r>
            <w:r w:rsidR="00CE21E1">
              <w:rPr>
                <w:rFonts w:ascii="Arial" w:hAnsi="Arial" w:cs="Arial"/>
              </w:rPr>
              <w:t>4</w:t>
            </w:r>
          </w:p>
        </w:tc>
        <w:tc>
          <w:tcPr>
            <w:tcW w:w="8506" w:type="dxa"/>
          </w:tcPr>
          <w:p w14:paraId="777E3D4B" w14:textId="2D4AAAA9" w:rsidR="7C1ED397" w:rsidRDefault="61B10E02" w:rsidP="00BD6BBB">
            <w:pPr>
              <w:spacing w:after="0" w:line="240" w:lineRule="auto"/>
              <w:jc w:val="both"/>
              <w:rPr>
                <w:rFonts w:ascii="Arial" w:hAnsi="Arial" w:cs="Arial"/>
              </w:rPr>
            </w:pPr>
            <w:r w:rsidRPr="5C450D93">
              <w:rPr>
                <w:rFonts w:ascii="Arial" w:hAnsi="Arial" w:cs="Arial"/>
              </w:rPr>
              <w:t xml:space="preserve">On the recommendation of the Nomination Committee, </w:t>
            </w:r>
            <w:r w:rsidR="05607319" w:rsidRPr="5C450D93">
              <w:rPr>
                <w:rFonts w:ascii="Arial" w:hAnsi="Arial" w:cs="Arial"/>
              </w:rPr>
              <w:t>consider</w:t>
            </w:r>
            <w:r w:rsidRPr="5C450D93">
              <w:rPr>
                <w:rFonts w:ascii="Arial" w:hAnsi="Arial" w:cs="Arial"/>
              </w:rPr>
              <w:t xml:space="preserve"> the reappointment of Non-Executive Directors at the conclusion of their specified term</w:t>
            </w:r>
            <w:r w:rsidR="41950405" w:rsidRPr="5C450D93">
              <w:rPr>
                <w:rFonts w:ascii="Arial" w:hAnsi="Arial" w:cs="Arial"/>
              </w:rPr>
              <w:t xml:space="preserve"> or for annual re</w:t>
            </w:r>
            <w:r w:rsidR="4EBD9C36" w:rsidRPr="5C450D93">
              <w:rPr>
                <w:rFonts w:ascii="Arial" w:hAnsi="Arial" w:cs="Arial"/>
              </w:rPr>
              <w:t>-e</w:t>
            </w:r>
            <w:r w:rsidR="41950405" w:rsidRPr="5C450D93">
              <w:rPr>
                <w:rFonts w:ascii="Arial" w:hAnsi="Arial" w:cs="Arial"/>
              </w:rPr>
              <w:t>lection at the Annual General Meeting</w:t>
            </w:r>
            <w:r w:rsidR="3E3CAA88" w:rsidRPr="5C450D93">
              <w:rPr>
                <w:rFonts w:ascii="Arial" w:hAnsi="Arial" w:cs="Arial"/>
              </w:rPr>
              <w:t>.</w:t>
            </w:r>
          </w:p>
        </w:tc>
      </w:tr>
      <w:tr w:rsidR="00A86359" w:rsidRPr="0030117C" w14:paraId="0AF87614" w14:textId="77777777" w:rsidTr="5C450D93">
        <w:tc>
          <w:tcPr>
            <w:tcW w:w="816" w:type="dxa"/>
          </w:tcPr>
          <w:p w14:paraId="2CB70498" w14:textId="4C1864FE" w:rsidR="00A86359" w:rsidRPr="0030117C" w:rsidRDefault="00A86359" w:rsidP="003A4A4F">
            <w:pPr>
              <w:spacing w:after="0" w:line="240" w:lineRule="auto"/>
              <w:rPr>
                <w:rFonts w:ascii="Arial" w:hAnsi="Arial" w:cs="Arial"/>
              </w:rPr>
            </w:pPr>
            <w:r w:rsidRPr="34100F9C">
              <w:rPr>
                <w:rFonts w:ascii="Arial" w:hAnsi="Arial" w:cs="Arial"/>
              </w:rPr>
              <w:t>9.</w:t>
            </w:r>
            <w:r w:rsidR="00B3717C">
              <w:rPr>
                <w:rFonts w:ascii="Arial" w:hAnsi="Arial" w:cs="Arial"/>
              </w:rPr>
              <w:t>5</w:t>
            </w:r>
          </w:p>
        </w:tc>
        <w:tc>
          <w:tcPr>
            <w:tcW w:w="8506" w:type="dxa"/>
          </w:tcPr>
          <w:p w14:paraId="23CD7DD5" w14:textId="77777777" w:rsidR="00A86359" w:rsidRPr="0030117C" w:rsidRDefault="00C06AA4" w:rsidP="00CF2470">
            <w:pPr>
              <w:spacing w:after="0" w:line="240" w:lineRule="auto"/>
              <w:jc w:val="both"/>
              <w:rPr>
                <w:rFonts w:ascii="Arial" w:hAnsi="Arial" w:cs="Arial"/>
              </w:rPr>
            </w:pPr>
            <w:r w:rsidRPr="0030117C">
              <w:rPr>
                <w:rFonts w:ascii="Arial" w:hAnsi="Arial" w:cs="Arial"/>
              </w:rPr>
              <w:t>S</w:t>
            </w:r>
            <w:r w:rsidR="00A86359" w:rsidRPr="0030117C">
              <w:rPr>
                <w:rFonts w:ascii="Arial" w:hAnsi="Arial" w:cs="Arial"/>
              </w:rPr>
              <w:t>uspen</w:t>
            </w:r>
            <w:r w:rsidRPr="0030117C">
              <w:rPr>
                <w:rFonts w:ascii="Arial" w:hAnsi="Arial" w:cs="Arial"/>
              </w:rPr>
              <w:t>sion</w:t>
            </w:r>
            <w:r w:rsidR="00A86359" w:rsidRPr="0030117C">
              <w:rPr>
                <w:rFonts w:ascii="Arial" w:hAnsi="Arial" w:cs="Arial"/>
              </w:rPr>
              <w:t xml:space="preserve"> or terminat</w:t>
            </w:r>
            <w:r w:rsidRPr="0030117C">
              <w:rPr>
                <w:rFonts w:ascii="Arial" w:hAnsi="Arial" w:cs="Arial"/>
              </w:rPr>
              <w:t>ion of</w:t>
            </w:r>
            <w:r w:rsidR="00A86359" w:rsidRPr="0030117C">
              <w:rPr>
                <w:rFonts w:ascii="Arial" w:hAnsi="Arial" w:cs="Arial"/>
              </w:rPr>
              <w:t xml:space="preserve"> service of an Executive Director as an employee of the Company or any company in the Group, subject to the law and their service contract. </w:t>
            </w:r>
          </w:p>
        </w:tc>
      </w:tr>
      <w:tr w:rsidR="00A86359" w:rsidRPr="0030117C" w14:paraId="71EED65D" w14:textId="77777777" w:rsidTr="5C450D93">
        <w:tc>
          <w:tcPr>
            <w:tcW w:w="816" w:type="dxa"/>
          </w:tcPr>
          <w:p w14:paraId="559A3CAD" w14:textId="3DFE30CD" w:rsidR="00A86359" w:rsidRPr="0030117C" w:rsidRDefault="00A86359" w:rsidP="003A4A4F">
            <w:pPr>
              <w:spacing w:after="0" w:line="240" w:lineRule="auto"/>
              <w:rPr>
                <w:rFonts w:ascii="Arial" w:hAnsi="Arial" w:cs="Arial"/>
              </w:rPr>
            </w:pPr>
            <w:r w:rsidRPr="34100F9C">
              <w:rPr>
                <w:rFonts w:ascii="Arial" w:hAnsi="Arial" w:cs="Arial"/>
              </w:rPr>
              <w:t>9.</w:t>
            </w:r>
            <w:r w:rsidR="00B3717C">
              <w:rPr>
                <w:rFonts w:ascii="Arial" w:hAnsi="Arial" w:cs="Arial"/>
              </w:rPr>
              <w:t>6</w:t>
            </w:r>
          </w:p>
        </w:tc>
        <w:tc>
          <w:tcPr>
            <w:tcW w:w="8506" w:type="dxa"/>
          </w:tcPr>
          <w:p w14:paraId="4C94ED02" w14:textId="77777777" w:rsidR="00A86359" w:rsidRPr="0030117C" w:rsidRDefault="00A86359" w:rsidP="00CF2470">
            <w:pPr>
              <w:spacing w:after="0" w:line="240" w:lineRule="auto"/>
              <w:jc w:val="both"/>
              <w:rPr>
                <w:rFonts w:ascii="Arial" w:hAnsi="Arial" w:cs="Arial"/>
              </w:rPr>
            </w:pPr>
            <w:r w:rsidRPr="0030117C">
              <w:rPr>
                <w:rFonts w:ascii="Arial" w:hAnsi="Arial" w:cs="Arial"/>
              </w:rPr>
              <w:t>Appointment or removal of the Company Secretary.</w:t>
            </w:r>
          </w:p>
        </w:tc>
      </w:tr>
      <w:tr w:rsidR="00A86359" w:rsidRPr="0030117C" w14:paraId="2389D824" w14:textId="77777777" w:rsidTr="5C450D93">
        <w:tc>
          <w:tcPr>
            <w:tcW w:w="816" w:type="dxa"/>
          </w:tcPr>
          <w:p w14:paraId="02FFD8C0" w14:textId="61897B1B" w:rsidR="00A86359" w:rsidRPr="0030117C" w:rsidRDefault="00A86359" w:rsidP="003A4A4F">
            <w:pPr>
              <w:spacing w:after="0" w:line="240" w:lineRule="auto"/>
              <w:rPr>
                <w:rFonts w:ascii="Arial" w:hAnsi="Arial" w:cs="Arial"/>
              </w:rPr>
            </w:pPr>
            <w:r w:rsidRPr="34100F9C">
              <w:rPr>
                <w:rFonts w:ascii="Arial" w:hAnsi="Arial" w:cs="Arial"/>
              </w:rPr>
              <w:t>9.</w:t>
            </w:r>
            <w:r w:rsidR="00B3717C">
              <w:rPr>
                <w:rFonts w:ascii="Arial" w:hAnsi="Arial" w:cs="Arial"/>
              </w:rPr>
              <w:t>7</w:t>
            </w:r>
          </w:p>
        </w:tc>
        <w:tc>
          <w:tcPr>
            <w:tcW w:w="8506" w:type="dxa"/>
          </w:tcPr>
          <w:p w14:paraId="4D990B9A" w14:textId="77777777" w:rsidR="00A86359" w:rsidRPr="0030117C" w:rsidRDefault="00A86359" w:rsidP="00CF2470">
            <w:pPr>
              <w:spacing w:after="0" w:line="240" w:lineRule="auto"/>
              <w:jc w:val="both"/>
              <w:rPr>
                <w:rFonts w:ascii="Arial" w:hAnsi="Arial" w:cs="Arial"/>
              </w:rPr>
            </w:pPr>
            <w:r w:rsidRPr="0030117C">
              <w:rPr>
                <w:rFonts w:ascii="Arial" w:hAnsi="Arial" w:cs="Arial"/>
              </w:rPr>
              <w:t>Appointment, re-appointment or removal of the external auditor to be put to shareholders for approval following recommendation from the Audit Committee</w:t>
            </w:r>
            <w:r w:rsidR="009669E8" w:rsidRPr="0030117C">
              <w:rPr>
                <w:rFonts w:ascii="Arial" w:hAnsi="Arial" w:cs="Arial"/>
              </w:rPr>
              <w:t>.</w:t>
            </w:r>
          </w:p>
        </w:tc>
      </w:tr>
      <w:tr w:rsidR="005944B3" w:rsidRPr="0030117C" w14:paraId="23F3D6CE" w14:textId="77777777" w:rsidTr="5C450D93">
        <w:tc>
          <w:tcPr>
            <w:tcW w:w="816" w:type="dxa"/>
          </w:tcPr>
          <w:p w14:paraId="7C166217" w14:textId="0A3243FA" w:rsidR="005944B3" w:rsidRPr="0030117C" w:rsidRDefault="00A86359" w:rsidP="003A4A4F">
            <w:pPr>
              <w:spacing w:after="0" w:line="240" w:lineRule="auto"/>
              <w:rPr>
                <w:rFonts w:ascii="Arial" w:hAnsi="Arial" w:cs="Arial"/>
              </w:rPr>
            </w:pPr>
            <w:r w:rsidRPr="34100F9C">
              <w:rPr>
                <w:rFonts w:ascii="Arial" w:hAnsi="Arial" w:cs="Arial"/>
              </w:rPr>
              <w:t>9.</w:t>
            </w:r>
            <w:r w:rsidR="00B3717C">
              <w:rPr>
                <w:rFonts w:ascii="Arial" w:hAnsi="Arial" w:cs="Arial"/>
              </w:rPr>
              <w:t>8</w:t>
            </w:r>
          </w:p>
        </w:tc>
        <w:tc>
          <w:tcPr>
            <w:tcW w:w="8506" w:type="dxa"/>
          </w:tcPr>
          <w:p w14:paraId="49A6F432" w14:textId="2203F804" w:rsidR="00BD6BBB" w:rsidRPr="0030117C" w:rsidRDefault="00A86359" w:rsidP="00CF2470">
            <w:pPr>
              <w:spacing w:after="0" w:line="240" w:lineRule="auto"/>
              <w:jc w:val="both"/>
              <w:rPr>
                <w:rFonts w:ascii="Arial" w:hAnsi="Arial" w:cs="Arial"/>
              </w:rPr>
            </w:pPr>
            <w:r w:rsidRPr="0030117C">
              <w:rPr>
                <w:rFonts w:ascii="Arial" w:hAnsi="Arial" w:cs="Arial"/>
              </w:rPr>
              <w:t>Appointment or change of the Group’s Brokers.</w:t>
            </w:r>
          </w:p>
        </w:tc>
      </w:tr>
      <w:tr w:rsidR="34100F9C" w14:paraId="12FDC6B5" w14:textId="77777777" w:rsidTr="5C450D93">
        <w:trPr>
          <w:trHeight w:val="300"/>
        </w:trPr>
        <w:tc>
          <w:tcPr>
            <w:tcW w:w="816" w:type="dxa"/>
          </w:tcPr>
          <w:p w14:paraId="21A63ABB" w14:textId="6C363C43" w:rsidR="783586A5" w:rsidRPr="00291C23" w:rsidRDefault="783586A5" w:rsidP="00182EDD">
            <w:pPr>
              <w:spacing w:after="0" w:line="240" w:lineRule="auto"/>
              <w:rPr>
                <w:rFonts w:ascii="Arial" w:hAnsi="Arial" w:cs="Arial"/>
                <w:b/>
                <w:bCs/>
              </w:rPr>
            </w:pPr>
            <w:r w:rsidRPr="00291C23">
              <w:rPr>
                <w:rFonts w:ascii="Arial" w:hAnsi="Arial" w:cs="Arial"/>
                <w:b/>
                <w:bCs/>
              </w:rPr>
              <w:t>10</w:t>
            </w:r>
          </w:p>
        </w:tc>
        <w:tc>
          <w:tcPr>
            <w:tcW w:w="8506" w:type="dxa"/>
          </w:tcPr>
          <w:p w14:paraId="62368E31" w14:textId="3F7B51E9" w:rsidR="783586A5" w:rsidRDefault="783586A5" w:rsidP="00182EDD">
            <w:pPr>
              <w:spacing w:after="0" w:line="240" w:lineRule="auto"/>
              <w:jc w:val="both"/>
              <w:rPr>
                <w:rFonts w:ascii="Arial" w:hAnsi="Arial" w:cs="Arial"/>
                <w:b/>
                <w:bCs/>
              </w:rPr>
            </w:pPr>
            <w:r w:rsidRPr="00291C23">
              <w:rPr>
                <w:rFonts w:ascii="Arial" w:hAnsi="Arial" w:cs="Arial"/>
                <w:b/>
                <w:bCs/>
              </w:rPr>
              <w:t>Diversity, Eq</w:t>
            </w:r>
            <w:r w:rsidR="23F593C5" w:rsidRPr="2BE163B1">
              <w:rPr>
                <w:rFonts w:ascii="Arial" w:hAnsi="Arial" w:cs="Arial"/>
                <w:b/>
                <w:bCs/>
              </w:rPr>
              <w:t>u</w:t>
            </w:r>
            <w:r w:rsidRPr="00291C23">
              <w:rPr>
                <w:rFonts w:ascii="Arial" w:hAnsi="Arial" w:cs="Arial"/>
                <w:b/>
                <w:bCs/>
              </w:rPr>
              <w:t>ity and Inclusion</w:t>
            </w:r>
          </w:p>
        </w:tc>
      </w:tr>
      <w:tr w:rsidR="34100F9C" w14:paraId="2AD1129C" w14:textId="77777777" w:rsidTr="5C450D93">
        <w:trPr>
          <w:trHeight w:val="300"/>
        </w:trPr>
        <w:tc>
          <w:tcPr>
            <w:tcW w:w="816" w:type="dxa"/>
          </w:tcPr>
          <w:p w14:paraId="440881DC" w14:textId="25E6AF57" w:rsidR="783586A5" w:rsidRDefault="783586A5" w:rsidP="005B2DAD">
            <w:pPr>
              <w:spacing w:after="0" w:line="240" w:lineRule="auto"/>
              <w:rPr>
                <w:rFonts w:ascii="Arial" w:hAnsi="Arial" w:cs="Arial"/>
              </w:rPr>
            </w:pPr>
            <w:r w:rsidRPr="34100F9C">
              <w:rPr>
                <w:rFonts w:ascii="Arial" w:hAnsi="Arial" w:cs="Arial"/>
              </w:rPr>
              <w:lastRenderedPageBreak/>
              <w:t>10.1</w:t>
            </w:r>
          </w:p>
        </w:tc>
        <w:tc>
          <w:tcPr>
            <w:tcW w:w="8506" w:type="dxa"/>
          </w:tcPr>
          <w:p w14:paraId="5D12ADB4" w14:textId="0A81DC0E" w:rsidR="0A401B2C" w:rsidRDefault="003F0D19" w:rsidP="005B2DAD">
            <w:pPr>
              <w:spacing w:after="0" w:line="240" w:lineRule="auto"/>
              <w:jc w:val="both"/>
              <w:rPr>
                <w:rFonts w:ascii="Arial" w:hAnsi="Arial" w:cs="Arial"/>
              </w:rPr>
            </w:pPr>
            <w:r>
              <w:rPr>
                <w:rFonts w:ascii="Arial" w:hAnsi="Arial" w:cs="Arial"/>
              </w:rPr>
              <w:t>Oversight of</w:t>
            </w:r>
            <w:r w:rsidR="0A401B2C" w:rsidRPr="2BE163B1">
              <w:rPr>
                <w:rFonts w:ascii="Arial" w:hAnsi="Arial" w:cs="Arial"/>
              </w:rPr>
              <w:t xml:space="preserve"> the policy or strategy on the promotion of diversity, equity and inclusion for the Board and Senior Management positions.</w:t>
            </w:r>
          </w:p>
        </w:tc>
      </w:tr>
      <w:tr w:rsidR="000B6D47" w:rsidRPr="0030117C" w14:paraId="5A4A4412" w14:textId="77777777" w:rsidTr="5C450D93">
        <w:tc>
          <w:tcPr>
            <w:tcW w:w="816" w:type="dxa"/>
          </w:tcPr>
          <w:p w14:paraId="5D369756" w14:textId="41678A3D" w:rsidR="000B6D47" w:rsidRPr="0030117C" w:rsidRDefault="008524FE" w:rsidP="34100F9C">
            <w:pPr>
              <w:spacing w:after="0" w:line="240" w:lineRule="auto"/>
              <w:rPr>
                <w:rFonts w:ascii="Arial" w:hAnsi="Arial" w:cs="Arial"/>
                <w:b/>
                <w:bCs/>
              </w:rPr>
            </w:pPr>
            <w:r w:rsidRPr="34100F9C">
              <w:rPr>
                <w:rFonts w:ascii="Arial" w:hAnsi="Arial" w:cs="Arial"/>
                <w:b/>
                <w:bCs/>
              </w:rPr>
              <w:t>1</w:t>
            </w:r>
            <w:r w:rsidR="69928DC4" w:rsidRPr="34100F9C">
              <w:rPr>
                <w:rFonts w:ascii="Arial" w:hAnsi="Arial" w:cs="Arial"/>
                <w:b/>
                <w:bCs/>
              </w:rPr>
              <w:t>1</w:t>
            </w:r>
          </w:p>
        </w:tc>
        <w:tc>
          <w:tcPr>
            <w:tcW w:w="8506" w:type="dxa"/>
          </w:tcPr>
          <w:p w14:paraId="2773B01A" w14:textId="77777777" w:rsidR="000B6D47" w:rsidRPr="0030117C" w:rsidRDefault="000B6D47" w:rsidP="003A4A4F">
            <w:pPr>
              <w:spacing w:after="0" w:line="240" w:lineRule="auto"/>
              <w:rPr>
                <w:rFonts w:ascii="Arial" w:hAnsi="Arial" w:cs="Arial"/>
                <w:b/>
              </w:rPr>
            </w:pPr>
            <w:r w:rsidRPr="0030117C">
              <w:rPr>
                <w:rFonts w:ascii="Arial" w:hAnsi="Arial" w:cs="Arial"/>
                <w:b/>
              </w:rPr>
              <w:t xml:space="preserve">Delegation of </w:t>
            </w:r>
            <w:r w:rsidR="00F45F5C" w:rsidRPr="0030117C">
              <w:rPr>
                <w:rFonts w:ascii="Arial" w:hAnsi="Arial" w:cs="Arial"/>
                <w:b/>
              </w:rPr>
              <w:t>A</w:t>
            </w:r>
            <w:r w:rsidRPr="0030117C">
              <w:rPr>
                <w:rFonts w:ascii="Arial" w:hAnsi="Arial" w:cs="Arial"/>
                <w:b/>
              </w:rPr>
              <w:t>uthority</w:t>
            </w:r>
          </w:p>
        </w:tc>
      </w:tr>
      <w:tr w:rsidR="000B6D47" w:rsidRPr="0030117C" w14:paraId="23DD341F" w14:textId="77777777" w:rsidTr="5C450D93">
        <w:tc>
          <w:tcPr>
            <w:tcW w:w="816" w:type="dxa"/>
          </w:tcPr>
          <w:p w14:paraId="28303DE6" w14:textId="70F2A204" w:rsidR="000B6D47" w:rsidRPr="0030117C" w:rsidRDefault="008524FE" w:rsidP="003A4A4F">
            <w:pPr>
              <w:spacing w:after="0" w:line="240" w:lineRule="auto"/>
              <w:rPr>
                <w:rFonts w:ascii="Arial" w:hAnsi="Arial" w:cs="Arial"/>
              </w:rPr>
            </w:pPr>
            <w:r w:rsidRPr="34100F9C">
              <w:rPr>
                <w:rFonts w:ascii="Arial" w:hAnsi="Arial" w:cs="Arial"/>
              </w:rPr>
              <w:t>1</w:t>
            </w:r>
            <w:r w:rsidR="60BDD706" w:rsidRPr="34100F9C">
              <w:rPr>
                <w:rFonts w:ascii="Arial" w:hAnsi="Arial" w:cs="Arial"/>
              </w:rPr>
              <w:t>1</w:t>
            </w:r>
            <w:r w:rsidR="000B6D47" w:rsidRPr="34100F9C">
              <w:rPr>
                <w:rFonts w:ascii="Arial" w:hAnsi="Arial" w:cs="Arial"/>
              </w:rPr>
              <w:t>.1</w:t>
            </w:r>
          </w:p>
        </w:tc>
        <w:tc>
          <w:tcPr>
            <w:tcW w:w="8506" w:type="dxa"/>
          </w:tcPr>
          <w:p w14:paraId="1CABC1B1" w14:textId="66CFCA2E" w:rsidR="000B6D47" w:rsidRPr="0030117C" w:rsidRDefault="00C06AA4" w:rsidP="00CF2470">
            <w:pPr>
              <w:spacing w:after="0" w:line="240" w:lineRule="auto"/>
              <w:jc w:val="both"/>
              <w:rPr>
                <w:rFonts w:ascii="Arial" w:hAnsi="Arial" w:cs="Arial"/>
              </w:rPr>
            </w:pPr>
            <w:r w:rsidRPr="0030117C">
              <w:rPr>
                <w:rFonts w:ascii="Arial" w:hAnsi="Arial" w:cs="Arial"/>
              </w:rPr>
              <w:t>D</w:t>
            </w:r>
            <w:r w:rsidR="000B6D47" w:rsidRPr="0030117C">
              <w:rPr>
                <w:rFonts w:ascii="Arial" w:hAnsi="Arial" w:cs="Arial"/>
              </w:rPr>
              <w:t xml:space="preserve">ivision of responsibilities between the </w:t>
            </w:r>
            <w:r w:rsidR="006976AC" w:rsidRPr="0030117C">
              <w:rPr>
                <w:rFonts w:ascii="Arial" w:hAnsi="Arial" w:cs="Arial"/>
              </w:rPr>
              <w:t>C</w:t>
            </w:r>
            <w:r w:rsidR="000B6D47" w:rsidRPr="0030117C">
              <w:rPr>
                <w:rFonts w:ascii="Arial" w:hAnsi="Arial" w:cs="Arial"/>
              </w:rPr>
              <w:t xml:space="preserve">hair and the </w:t>
            </w:r>
            <w:r w:rsidR="006976AC" w:rsidRPr="0030117C">
              <w:rPr>
                <w:rFonts w:ascii="Arial" w:hAnsi="Arial" w:cs="Arial"/>
              </w:rPr>
              <w:t>C</w:t>
            </w:r>
            <w:r w:rsidR="000B6D47" w:rsidRPr="0030117C">
              <w:rPr>
                <w:rFonts w:ascii="Arial" w:hAnsi="Arial" w:cs="Arial"/>
              </w:rPr>
              <w:t xml:space="preserve">hief </w:t>
            </w:r>
            <w:r w:rsidR="006976AC" w:rsidRPr="0030117C">
              <w:rPr>
                <w:rFonts w:ascii="Arial" w:hAnsi="Arial" w:cs="Arial"/>
              </w:rPr>
              <w:t>E</w:t>
            </w:r>
            <w:r w:rsidR="000B6D47" w:rsidRPr="0030117C">
              <w:rPr>
                <w:rFonts w:ascii="Arial" w:hAnsi="Arial" w:cs="Arial"/>
              </w:rPr>
              <w:t>xecutive</w:t>
            </w:r>
            <w:r w:rsidR="00B0240C" w:rsidRPr="0030117C">
              <w:rPr>
                <w:rFonts w:ascii="Arial" w:hAnsi="Arial" w:cs="Arial"/>
              </w:rPr>
              <w:t xml:space="preserve"> Officer</w:t>
            </w:r>
            <w:r w:rsidR="1B511BB7" w:rsidRPr="0AD54278">
              <w:rPr>
                <w:rFonts w:ascii="Arial" w:hAnsi="Arial" w:cs="Arial"/>
              </w:rPr>
              <w:t xml:space="preserve"> and Role Descriptions for the Chair, the Chief Executive Officer and Senior Independent Director.</w:t>
            </w:r>
          </w:p>
        </w:tc>
      </w:tr>
      <w:tr w:rsidR="000B6D47" w:rsidRPr="0030117C" w14:paraId="69F74DBC" w14:textId="77777777" w:rsidTr="5C450D93">
        <w:tc>
          <w:tcPr>
            <w:tcW w:w="816" w:type="dxa"/>
          </w:tcPr>
          <w:p w14:paraId="2AC6642A" w14:textId="4C8C3694" w:rsidR="000B6D47" w:rsidRPr="0030117C" w:rsidRDefault="008524FE" w:rsidP="003A4A4F">
            <w:pPr>
              <w:spacing w:after="0" w:line="240" w:lineRule="auto"/>
              <w:rPr>
                <w:rFonts w:ascii="Arial" w:hAnsi="Arial" w:cs="Arial"/>
              </w:rPr>
            </w:pPr>
            <w:r w:rsidRPr="34100F9C">
              <w:rPr>
                <w:rFonts w:ascii="Arial" w:hAnsi="Arial" w:cs="Arial"/>
              </w:rPr>
              <w:t>1</w:t>
            </w:r>
            <w:r w:rsidR="773659A4" w:rsidRPr="34100F9C">
              <w:rPr>
                <w:rFonts w:ascii="Arial" w:hAnsi="Arial" w:cs="Arial"/>
              </w:rPr>
              <w:t>1</w:t>
            </w:r>
            <w:r w:rsidR="000B6D47" w:rsidRPr="34100F9C">
              <w:rPr>
                <w:rFonts w:ascii="Arial" w:hAnsi="Arial" w:cs="Arial"/>
              </w:rPr>
              <w:t>.2</w:t>
            </w:r>
          </w:p>
        </w:tc>
        <w:tc>
          <w:tcPr>
            <w:tcW w:w="8506" w:type="dxa"/>
          </w:tcPr>
          <w:p w14:paraId="6631838E" w14:textId="77777777" w:rsidR="000B6D47" w:rsidRPr="0030117C" w:rsidRDefault="000B6D47" w:rsidP="00CF2470">
            <w:pPr>
              <w:spacing w:after="0" w:line="240" w:lineRule="auto"/>
              <w:jc w:val="both"/>
              <w:rPr>
                <w:rFonts w:ascii="Arial" w:hAnsi="Arial" w:cs="Arial"/>
              </w:rPr>
            </w:pPr>
            <w:r w:rsidRPr="0030117C">
              <w:rPr>
                <w:rFonts w:ascii="Arial" w:hAnsi="Arial" w:cs="Arial"/>
              </w:rPr>
              <w:t>Establishing Board Committees</w:t>
            </w:r>
            <w:r w:rsidR="005944B3" w:rsidRPr="0030117C">
              <w:rPr>
                <w:rFonts w:ascii="Arial" w:hAnsi="Arial" w:cs="Arial"/>
              </w:rPr>
              <w:t xml:space="preserve"> and</w:t>
            </w:r>
            <w:r w:rsidRPr="0030117C">
              <w:rPr>
                <w:rFonts w:ascii="Arial" w:hAnsi="Arial" w:cs="Arial"/>
              </w:rPr>
              <w:t xml:space="preserve"> approving their Terms of Reference</w:t>
            </w:r>
            <w:r w:rsidR="009669E8" w:rsidRPr="0030117C">
              <w:rPr>
                <w:rFonts w:ascii="Arial" w:hAnsi="Arial" w:cs="Arial"/>
              </w:rPr>
              <w:t>.</w:t>
            </w:r>
          </w:p>
        </w:tc>
      </w:tr>
      <w:tr w:rsidR="000B6D47" w:rsidRPr="0030117C" w14:paraId="4A4866DA" w14:textId="77777777" w:rsidTr="5C450D93">
        <w:tc>
          <w:tcPr>
            <w:tcW w:w="816" w:type="dxa"/>
          </w:tcPr>
          <w:p w14:paraId="4737E36C" w14:textId="6EFAF35D" w:rsidR="000B6D47" w:rsidRPr="0030117C" w:rsidRDefault="000B6D47" w:rsidP="34100F9C">
            <w:pPr>
              <w:spacing w:after="0" w:line="240" w:lineRule="auto"/>
              <w:rPr>
                <w:rFonts w:ascii="Arial" w:hAnsi="Arial" w:cs="Arial"/>
                <w:b/>
                <w:bCs/>
              </w:rPr>
            </w:pPr>
            <w:r w:rsidRPr="34100F9C">
              <w:rPr>
                <w:rFonts w:ascii="Arial" w:hAnsi="Arial" w:cs="Arial"/>
                <w:b/>
                <w:bCs/>
              </w:rPr>
              <w:t>1</w:t>
            </w:r>
            <w:r w:rsidR="37A4DB98" w:rsidRPr="34100F9C">
              <w:rPr>
                <w:rFonts w:ascii="Arial" w:hAnsi="Arial" w:cs="Arial"/>
                <w:b/>
                <w:bCs/>
              </w:rPr>
              <w:t>2</w:t>
            </w:r>
          </w:p>
        </w:tc>
        <w:tc>
          <w:tcPr>
            <w:tcW w:w="8506" w:type="dxa"/>
          </w:tcPr>
          <w:p w14:paraId="469F0A8D" w14:textId="77777777" w:rsidR="000B6D47" w:rsidRPr="0030117C" w:rsidRDefault="000B6D47" w:rsidP="003A4A4F">
            <w:pPr>
              <w:spacing w:after="0" w:line="240" w:lineRule="auto"/>
              <w:rPr>
                <w:rFonts w:ascii="Arial" w:hAnsi="Arial" w:cs="Arial"/>
                <w:b/>
              </w:rPr>
            </w:pPr>
            <w:r w:rsidRPr="0030117C">
              <w:rPr>
                <w:rFonts w:ascii="Arial" w:hAnsi="Arial" w:cs="Arial"/>
                <w:b/>
              </w:rPr>
              <w:t>Policies and Codes</w:t>
            </w:r>
          </w:p>
        </w:tc>
      </w:tr>
      <w:tr w:rsidR="000B6D47" w:rsidRPr="0030117C" w14:paraId="67A93D3E" w14:textId="77777777" w:rsidTr="5C450D93">
        <w:tc>
          <w:tcPr>
            <w:tcW w:w="816" w:type="dxa"/>
          </w:tcPr>
          <w:p w14:paraId="280B52BC" w14:textId="00C3CE8C" w:rsidR="000B6D47" w:rsidRPr="0030117C" w:rsidRDefault="000B6D47" w:rsidP="003A4A4F">
            <w:pPr>
              <w:spacing w:after="0" w:line="240" w:lineRule="auto"/>
              <w:rPr>
                <w:rFonts w:ascii="Arial" w:hAnsi="Arial" w:cs="Arial"/>
              </w:rPr>
            </w:pPr>
            <w:r w:rsidRPr="34100F9C">
              <w:rPr>
                <w:rFonts w:ascii="Arial" w:hAnsi="Arial" w:cs="Arial"/>
              </w:rPr>
              <w:t>1</w:t>
            </w:r>
            <w:r w:rsidR="5DBB3330" w:rsidRPr="34100F9C">
              <w:rPr>
                <w:rFonts w:ascii="Arial" w:hAnsi="Arial" w:cs="Arial"/>
              </w:rPr>
              <w:t>2</w:t>
            </w:r>
            <w:r w:rsidRPr="34100F9C">
              <w:rPr>
                <w:rFonts w:ascii="Arial" w:hAnsi="Arial" w:cs="Arial"/>
              </w:rPr>
              <w:t>.1</w:t>
            </w:r>
          </w:p>
        </w:tc>
        <w:tc>
          <w:tcPr>
            <w:tcW w:w="8506" w:type="dxa"/>
          </w:tcPr>
          <w:p w14:paraId="5C14463B" w14:textId="72D77DBD" w:rsidR="000B6D47" w:rsidRPr="00DA5911" w:rsidRDefault="6496FD02" w:rsidP="00CF2470">
            <w:pPr>
              <w:spacing w:after="0" w:line="240" w:lineRule="auto"/>
              <w:jc w:val="both"/>
              <w:rPr>
                <w:rFonts w:ascii="Arial" w:hAnsi="Arial" w:cs="Arial"/>
              </w:rPr>
            </w:pPr>
            <w:r w:rsidRPr="5C450D93">
              <w:rPr>
                <w:rFonts w:ascii="Arial" w:hAnsi="Arial" w:cs="Arial"/>
              </w:rPr>
              <w:t xml:space="preserve">Approval and any amendment of </w:t>
            </w:r>
            <w:r w:rsidR="48679233" w:rsidRPr="5C450D93">
              <w:rPr>
                <w:rFonts w:ascii="Arial" w:hAnsi="Arial" w:cs="Arial"/>
              </w:rPr>
              <w:t>K</w:t>
            </w:r>
            <w:r w:rsidR="35C63A43" w:rsidRPr="5C450D93">
              <w:rPr>
                <w:rFonts w:ascii="Arial" w:hAnsi="Arial" w:cs="Arial"/>
              </w:rPr>
              <w:t xml:space="preserve">ey Group </w:t>
            </w:r>
            <w:r w:rsidR="44276119" w:rsidRPr="5C450D93">
              <w:rPr>
                <w:rFonts w:ascii="Arial" w:hAnsi="Arial" w:cs="Arial"/>
              </w:rPr>
              <w:t>P</w:t>
            </w:r>
            <w:r w:rsidR="35C63A43" w:rsidRPr="5C450D93">
              <w:rPr>
                <w:rFonts w:ascii="Arial" w:hAnsi="Arial" w:cs="Arial"/>
              </w:rPr>
              <w:t>olicies including:</w:t>
            </w:r>
          </w:p>
          <w:p w14:paraId="69E8B424" w14:textId="4FFFB44C" w:rsidR="000B6D47" w:rsidRPr="0030117C" w:rsidRDefault="000B6D47" w:rsidP="00CF2470">
            <w:pPr>
              <w:pStyle w:val="ListParagraph"/>
              <w:numPr>
                <w:ilvl w:val="0"/>
                <w:numId w:val="3"/>
              </w:numPr>
              <w:spacing w:after="0" w:line="240" w:lineRule="auto"/>
              <w:jc w:val="both"/>
              <w:rPr>
                <w:rFonts w:ascii="Arial" w:hAnsi="Arial" w:cs="Arial"/>
              </w:rPr>
            </w:pPr>
            <w:r w:rsidRPr="00DA5911">
              <w:rPr>
                <w:rFonts w:ascii="Arial" w:hAnsi="Arial" w:cs="Arial"/>
              </w:rPr>
              <w:t xml:space="preserve">Share Dealing </w:t>
            </w:r>
            <w:r w:rsidR="006412E2">
              <w:rPr>
                <w:rFonts w:ascii="Arial" w:hAnsi="Arial" w:cs="Arial"/>
              </w:rPr>
              <w:t>Policy</w:t>
            </w:r>
            <w:r w:rsidR="002630A9">
              <w:rPr>
                <w:rFonts w:ascii="Arial" w:hAnsi="Arial" w:cs="Arial"/>
              </w:rPr>
              <w:t>;</w:t>
            </w:r>
          </w:p>
          <w:p w14:paraId="52B0788A" w14:textId="77777777" w:rsidR="000B6D47" w:rsidRPr="0030117C" w:rsidRDefault="000B6D47" w:rsidP="00CF2470">
            <w:pPr>
              <w:pStyle w:val="ListParagraph"/>
              <w:numPr>
                <w:ilvl w:val="0"/>
                <w:numId w:val="3"/>
              </w:numPr>
              <w:spacing w:after="0" w:line="240" w:lineRule="auto"/>
              <w:jc w:val="both"/>
              <w:rPr>
                <w:rFonts w:ascii="Arial" w:hAnsi="Arial" w:cs="Arial"/>
              </w:rPr>
            </w:pPr>
            <w:r w:rsidRPr="0030117C">
              <w:rPr>
                <w:rFonts w:ascii="Arial" w:hAnsi="Arial" w:cs="Arial"/>
              </w:rPr>
              <w:t>Health and Safety Policy (annual)</w:t>
            </w:r>
            <w:r w:rsidR="002630A9">
              <w:rPr>
                <w:rFonts w:ascii="Arial" w:hAnsi="Arial" w:cs="Arial"/>
              </w:rPr>
              <w:t>;</w:t>
            </w:r>
          </w:p>
          <w:p w14:paraId="003ABF91" w14:textId="03ED1888" w:rsidR="000B6D47" w:rsidRPr="0030117C" w:rsidRDefault="000B6D47" w:rsidP="00CF2470">
            <w:pPr>
              <w:pStyle w:val="ListParagraph"/>
              <w:numPr>
                <w:ilvl w:val="0"/>
                <w:numId w:val="3"/>
              </w:numPr>
              <w:spacing w:after="0" w:line="240" w:lineRule="auto"/>
              <w:jc w:val="both"/>
              <w:rPr>
                <w:rFonts w:ascii="Arial" w:hAnsi="Arial" w:cs="Arial"/>
              </w:rPr>
            </w:pPr>
            <w:r w:rsidRPr="34100F9C">
              <w:rPr>
                <w:rFonts w:ascii="Arial" w:hAnsi="Arial" w:cs="Arial"/>
              </w:rPr>
              <w:t>Dividend Policy</w:t>
            </w:r>
            <w:r w:rsidR="62645410" w:rsidRPr="34100F9C">
              <w:rPr>
                <w:rFonts w:ascii="Arial" w:hAnsi="Arial" w:cs="Arial"/>
              </w:rPr>
              <w:t>, as part of the Capital Allocation Framework</w:t>
            </w:r>
            <w:r w:rsidR="002630A9" w:rsidRPr="34100F9C">
              <w:rPr>
                <w:rFonts w:ascii="Arial" w:hAnsi="Arial" w:cs="Arial"/>
              </w:rPr>
              <w:t>;</w:t>
            </w:r>
          </w:p>
          <w:p w14:paraId="32DB20AE" w14:textId="77777777" w:rsidR="000B6D47" w:rsidRPr="0030117C" w:rsidRDefault="000B6D47" w:rsidP="00CF2470">
            <w:pPr>
              <w:pStyle w:val="ListParagraph"/>
              <w:numPr>
                <w:ilvl w:val="0"/>
                <w:numId w:val="3"/>
              </w:numPr>
              <w:spacing w:after="0" w:line="240" w:lineRule="auto"/>
              <w:jc w:val="both"/>
              <w:rPr>
                <w:rFonts w:ascii="Arial" w:hAnsi="Arial" w:cs="Arial"/>
              </w:rPr>
            </w:pPr>
            <w:r w:rsidRPr="0030117C">
              <w:rPr>
                <w:rFonts w:ascii="Arial" w:hAnsi="Arial" w:cs="Arial"/>
              </w:rPr>
              <w:t>Disclosure Policy</w:t>
            </w:r>
            <w:r w:rsidR="002630A9">
              <w:rPr>
                <w:rFonts w:ascii="Arial" w:hAnsi="Arial" w:cs="Arial"/>
              </w:rPr>
              <w:t>; and</w:t>
            </w:r>
            <w:r w:rsidRPr="0030117C">
              <w:rPr>
                <w:rFonts w:ascii="Arial" w:hAnsi="Arial" w:cs="Arial"/>
              </w:rPr>
              <w:t xml:space="preserve">  </w:t>
            </w:r>
          </w:p>
          <w:p w14:paraId="3B8950CD" w14:textId="77777777" w:rsidR="00C06AA4" w:rsidRPr="0030117C" w:rsidRDefault="35C63A43" w:rsidP="00CF2470">
            <w:pPr>
              <w:pStyle w:val="ListParagraph"/>
              <w:numPr>
                <w:ilvl w:val="0"/>
                <w:numId w:val="3"/>
              </w:numPr>
              <w:spacing w:after="0" w:line="240" w:lineRule="auto"/>
              <w:jc w:val="both"/>
              <w:rPr>
                <w:rFonts w:ascii="Arial" w:hAnsi="Arial" w:cs="Arial"/>
              </w:rPr>
            </w:pPr>
            <w:r w:rsidRPr="5C450D93">
              <w:rPr>
                <w:rFonts w:ascii="Arial" w:hAnsi="Arial" w:cs="Arial"/>
              </w:rPr>
              <w:t>Tax Policy</w:t>
            </w:r>
            <w:r w:rsidR="43F17E91" w:rsidRPr="5C450D93">
              <w:rPr>
                <w:rFonts w:ascii="Arial" w:hAnsi="Arial" w:cs="Arial"/>
              </w:rPr>
              <w:t>.</w:t>
            </w:r>
          </w:p>
        </w:tc>
      </w:tr>
      <w:tr w:rsidR="000B6D47" w:rsidRPr="009D6577" w14:paraId="76BD1272" w14:textId="77777777" w:rsidTr="5C450D93">
        <w:tc>
          <w:tcPr>
            <w:tcW w:w="816" w:type="dxa"/>
          </w:tcPr>
          <w:p w14:paraId="4B73E586" w14:textId="489C9860" w:rsidR="000B6D47" w:rsidRPr="009D6577" w:rsidRDefault="000B6D47" w:rsidP="34100F9C">
            <w:pPr>
              <w:spacing w:after="0" w:line="240" w:lineRule="auto"/>
              <w:rPr>
                <w:rFonts w:ascii="Arial" w:hAnsi="Arial" w:cs="Arial"/>
                <w:b/>
                <w:bCs/>
              </w:rPr>
            </w:pPr>
            <w:r w:rsidRPr="34100F9C">
              <w:rPr>
                <w:rFonts w:ascii="Arial" w:hAnsi="Arial" w:cs="Arial"/>
                <w:b/>
                <w:bCs/>
              </w:rPr>
              <w:t>1</w:t>
            </w:r>
            <w:r w:rsidR="4222072F" w:rsidRPr="34100F9C">
              <w:rPr>
                <w:rFonts w:ascii="Arial" w:hAnsi="Arial" w:cs="Arial"/>
                <w:b/>
                <w:bCs/>
              </w:rPr>
              <w:t>3</w:t>
            </w:r>
          </w:p>
        </w:tc>
        <w:tc>
          <w:tcPr>
            <w:tcW w:w="8506" w:type="dxa"/>
          </w:tcPr>
          <w:p w14:paraId="61844A1C" w14:textId="77777777" w:rsidR="000B6D47" w:rsidRPr="009D6577" w:rsidRDefault="000B6D47" w:rsidP="003A4A4F">
            <w:pPr>
              <w:spacing w:after="0" w:line="240" w:lineRule="auto"/>
              <w:rPr>
                <w:rFonts w:ascii="Arial" w:hAnsi="Arial" w:cs="Arial"/>
                <w:b/>
              </w:rPr>
            </w:pPr>
            <w:r w:rsidRPr="009D6577">
              <w:rPr>
                <w:rFonts w:ascii="Arial" w:hAnsi="Arial" w:cs="Arial"/>
                <w:b/>
              </w:rPr>
              <w:t xml:space="preserve">Key Group Plans and Regulatory </w:t>
            </w:r>
            <w:r w:rsidR="00B0240C" w:rsidRPr="009D6577">
              <w:rPr>
                <w:rFonts w:ascii="Arial" w:hAnsi="Arial" w:cs="Arial"/>
                <w:b/>
              </w:rPr>
              <w:t>D</w:t>
            </w:r>
            <w:r w:rsidRPr="009D6577">
              <w:rPr>
                <w:rFonts w:ascii="Arial" w:hAnsi="Arial" w:cs="Arial"/>
                <w:b/>
              </w:rPr>
              <w:t>ocument</w:t>
            </w:r>
            <w:r w:rsidR="00C06AA4" w:rsidRPr="009D6577">
              <w:rPr>
                <w:rFonts w:ascii="Arial" w:hAnsi="Arial" w:cs="Arial"/>
                <w:b/>
              </w:rPr>
              <w:t>s</w:t>
            </w:r>
          </w:p>
        </w:tc>
      </w:tr>
      <w:tr w:rsidR="000B6D47" w:rsidRPr="009D6577" w14:paraId="0F7A1E7B" w14:textId="77777777" w:rsidTr="5C450D93">
        <w:tc>
          <w:tcPr>
            <w:tcW w:w="816" w:type="dxa"/>
          </w:tcPr>
          <w:p w14:paraId="2B362878" w14:textId="6CB9C769" w:rsidR="000B6D47" w:rsidRPr="009D6577" w:rsidRDefault="000B6D47" w:rsidP="003A4A4F">
            <w:pPr>
              <w:spacing w:after="0" w:line="240" w:lineRule="auto"/>
              <w:rPr>
                <w:rFonts w:ascii="Arial" w:hAnsi="Arial" w:cs="Arial"/>
              </w:rPr>
            </w:pPr>
            <w:r w:rsidRPr="34100F9C">
              <w:rPr>
                <w:rFonts w:ascii="Arial" w:hAnsi="Arial" w:cs="Arial"/>
              </w:rPr>
              <w:t>1</w:t>
            </w:r>
            <w:r w:rsidR="48E5005D" w:rsidRPr="34100F9C">
              <w:rPr>
                <w:rFonts w:ascii="Arial" w:hAnsi="Arial" w:cs="Arial"/>
              </w:rPr>
              <w:t>3</w:t>
            </w:r>
            <w:r w:rsidRPr="34100F9C">
              <w:rPr>
                <w:rFonts w:ascii="Arial" w:hAnsi="Arial" w:cs="Arial"/>
              </w:rPr>
              <w:t>.1</w:t>
            </w:r>
          </w:p>
        </w:tc>
        <w:tc>
          <w:tcPr>
            <w:tcW w:w="8506" w:type="dxa"/>
          </w:tcPr>
          <w:p w14:paraId="34E9600A" w14:textId="77777777" w:rsidR="000B6D47" w:rsidRPr="009D6577" w:rsidRDefault="00C06AA4" w:rsidP="00CF2470">
            <w:pPr>
              <w:spacing w:after="0" w:line="240" w:lineRule="auto"/>
              <w:jc w:val="both"/>
              <w:rPr>
                <w:rFonts w:ascii="Arial" w:hAnsi="Arial" w:cs="Arial"/>
              </w:rPr>
            </w:pPr>
            <w:r w:rsidRPr="009D6577">
              <w:rPr>
                <w:rFonts w:ascii="Arial" w:hAnsi="Arial" w:cs="Arial"/>
              </w:rPr>
              <w:t>T</w:t>
            </w:r>
            <w:r w:rsidR="000B6D47" w:rsidRPr="009D6577">
              <w:rPr>
                <w:rFonts w:ascii="Arial" w:hAnsi="Arial" w:cs="Arial"/>
              </w:rPr>
              <w:t>he following key Group plans and documents:</w:t>
            </w:r>
          </w:p>
          <w:p w14:paraId="1286FC33" w14:textId="77548716" w:rsidR="000B6D47" w:rsidRPr="009D6577" w:rsidRDefault="5F0DB7BD" w:rsidP="00CF2470">
            <w:pPr>
              <w:numPr>
                <w:ilvl w:val="0"/>
                <w:numId w:val="5"/>
              </w:numPr>
              <w:spacing w:after="0" w:line="240" w:lineRule="auto"/>
              <w:jc w:val="both"/>
              <w:rPr>
                <w:rFonts w:ascii="Arial" w:hAnsi="Arial" w:cs="Arial"/>
              </w:rPr>
            </w:pPr>
            <w:r w:rsidRPr="5C450D93">
              <w:rPr>
                <w:rFonts w:ascii="Arial" w:hAnsi="Arial" w:cs="Arial"/>
              </w:rPr>
              <w:t>In</w:t>
            </w:r>
            <w:r w:rsidR="40660D1B" w:rsidRPr="5C450D93">
              <w:rPr>
                <w:rFonts w:ascii="Arial" w:hAnsi="Arial" w:cs="Arial"/>
              </w:rPr>
              <w:t xml:space="preserve">ternal Capital </w:t>
            </w:r>
            <w:r w:rsidR="5652363C" w:rsidRPr="5C450D93">
              <w:rPr>
                <w:rFonts w:ascii="Arial" w:hAnsi="Arial" w:cs="Arial"/>
              </w:rPr>
              <w:t xml:space="preserve">Adequacy </w:t>
            </w:r>
            <w:r w:rsidR="40660D1B" w:rsidRPr="5C450D93">
              <w:rPr>
                <w:rFonts w:ascii="Arial" w:hAnsi="Arial" w:cs="Arial"/>
              </w:rPr>
              <w:t xml:space="preserve">and Risk </w:t>
            </w:r>
            <w:r w:rsidR="4A6074F9" w:rsidRPr="5C450D93">
              <w:rPr>
                <w:rFonts w:ascii="Arial" w:hAnsi="Arial" w:cs="Arial"/>
              </w:rPr>
              <w:t>Assessment</w:t>
            </w:r>
            <w:r w:rsidR="5652363C" w:rsidRPr="5C450D93">
              <w:rPr>
                <w:rFonts w:ascii="Arial" w:hAnsi="Arial" w:cs="Arial"/>
              </w:rPr>
              <w:t xml:space="preserve"> (ICARA)</w:t>
            </w:r>
            <w:r w:rsidR="35C63A43" w:rsidRPr="5C450D93">
              <w:rPr>
                <w:rFonts w:ascii="Arial" w:hAnsi="Arial" w:cs="Arial"/>
              </w:rPr>
              <w:t xml:space="preserve"> document</w:t>
            </w:r>
            <w:r w:rsidR="7A227C3E" w:rsidRPr="5C450D93">
              <w:rPr>
                <w:rFonts w:ascii="Arial" w:hAnsi="Arial" w:cs="Arial"/>
              </w:rPr>
              <w:t xml:space="preserve"> and </w:t>
            </w:r>
            <w:r w:rsidR="00EB7E03">
              <w:rPr>
                <w:rFonts w:ascii="Arial" w:hAnsi="Arial" w:cs="Arial"/>
              </w:rPr>
              <w:t>Wind Down Plan</w:t>
            </w:r>
            <w:r w:rsidR="00DE2B24">
              <w:rPr>
                <w:rFonts w:ascii="Arial" w:hAnsi="Arial" w:cs="Arial"/>
              </w:rPr>
              <w:t>;</w:t>
            </w:r>
          </w:p>
          <w:p w14:paraId="61F78BC1" w14:textId="77777777" w:rsidR="00C06AA4" w:rsidRPr="009D6577" w:rsidRDefault="000B6D47" w:rsidP="00CF2470">
            <w:pPr>
              <w:numPr>
                <w:ilvl w:val="0"/>
                <w:numId w:val="5"/>
              </w:numPr>
              <w:spacing w:after="0" w:line="240" w:lineRule="auto"/>
              <w:jc w:val="both"/>
              <w:rPr>
                <w:rFonts w:ascii="Arial" w:hAnsi="Arial" w:cs="Arial"/>
              </w:rPr>
            </w:pPr>
            <w:r w:rsidRPr="009D6577">
              <w:rPr>
                <w:rFonts w:ascii="Arial" w:hAnsi="Arial" w:cs="Arial"/>
              </w:rPr>
              <w:t>Modern Slavery Act Statement in accordance with the UK Modern Slavery Act 2015</w:t>
            </w:r>
            <w:r w:rsidR="009669E8" w:rsidRPr="009D6577">
              <w:rPr>
                <w:rFonts w:ascii="Arial" w:hAnsi="Arial" w:cs="Arial"/>
              </w:rPr>
              <w:t>.</w:t>
            </w:r>
          </w:p>
        </w:tc>
      </w:tr>
      <w:tr w:rsidR="001E13F4" w:rsidRPr="009D6577" w14:paraId="46DD98E1" w14:textId="77777777" w:rsidTr="5C450D93">
        <w:tc>
          <w:tcPr>
            <w:tcW w:w="816" w:type="dxa"/>
          </w:tcPr>
          <w:p w14:paraId="39F18D26" w14:textId="053D0946" w:rsidR="001E13F4" w:rsidRPr="009D6577" w:rsidRDefault="001E13F4" w:rsidP="34100F9C">
            <w:pPr>
              <w:spacing w:after="0" w:line="240" w:lineRule="auto"/>
              <w:rPr>
                <w:rFonts w:ascii="Arial" w:hAnsi="Arial" w:cs="Arial"/>
                <w:b/>
                <w:bCs/>
              </w:rPr>
            </w:pPr>
            <w:r w:rsidRPr="34100F9C">
              <w:rPr>
                <w:rFonts w:ascii="Arial" w:hAnsi="Arial" w:cs="Arial"/>
                <w:b/>
                <w:bCs/>
              </w:rPr>
              <w:t>1</w:t>
            </w:r>
            <w:r w:rsidR="2340B7FE" w:rsidRPr="34100F9C">
              <w:rPr>
                <w:rFonts w:ascii="Arial" w:hAnsi="Arial" w:cs="Arial"/>
                <w:b/>
                <w:bCs/>
              </w:rPr>
              <w:t>4</w:t>
            </w:r>
          </w:p>
        </w:tc>
        <w:tc>
          <w:tcPr>
            <w:tcW w:w="8506" w:type="dxa"/>
          </w:tcPr>
          <w:p w14:paraId="24AB6C12" w14:textId="77777777" w:rsidR="001E13F4" w:rsidRPr="009D6577" w:rsidRDefault="001E13F4" w:rsidP="003A4A4F">
            <w:pPr>
              <w:spacing w:after="0" w:line="240" w:lineRule="auto"/>
              <w:rPr>
                <w:rFonts w:ascii="Arial" w:hAnsi="Arial" w:cs="Arial"/>
                <w:b/>
              </w:rPr>
            </w:pPr>
            <w:r w:rsidRPr="009D6577">
              <w:rPr>
                <w:rFonts w:ascii="Arial" w:hAnsi="Arial" w:cs="Arial"/>
                <w:b/>
              </w:rPr>
              <w:t>Corporate Governance</w:t>
            </w:r>
          </w:p>
        </w:tc>
      </w:tr>
      <w:tr w:rsidR="001E13F4" w:rsidRPr="009D6577" w14:paraId="22157184" w14:textId="77777777" w:rsidTr="5C450D93">
        <w:tc>
          <w:tcPr>
            <w:tcW w:w="816" w:type="dxa"/>
          </w:tcPr>
          <w:p w14:paraId="0F6F11FA" w14:textId="112A2B7A" w:rsidR="001E13F4" w:rsidRPr="009D6577" w:rsidRDefault="001E13F4" w:rsidP="34100F9C">
            <w:pPr>
              <w:spacing w:after="0" w:line="240" w:lineRule="auto"/>
              <w:rPr>
                <w:rFonts w:ascii="Arial" w:hAnsi="Arial" w:cs="Arial"/>
              </w:rPr>
            </w:pPr>
            <w:r w:rsidRPr="34100F9C">
              <w:rPr>
                <w:rFonts w:ascii="Arial" w:hAnsi="Arial" w:cs="Arial"/>
              </w:rPr>
              <w:t>1</w:t>
            </w:r>
            <w:r w:rsidR="530453BE" w:rsidRPr="34100F9C">
              <w:rPr>
                <w:rFonts w:ascii="Arial" w:hAnsi="Arial" w:cs="Arial"/>
              </w:rPr>
              <w:t>4</w:t>
            </w:r>
            <w:r w:rsidRPr="34100F9C">
              <w:rPr>
                <w:rFonts w:ascii="Arial" w:hAnsi="Arial" w:cs="Arial"/>
              </w:rPr>
              <w:t>.1</w:t>
            </w:r>
          </w:p>
        </w:tc>
        <w:tc>
          <w:tcPr>
            <w:tcW w:w="8506" w:type="dxa"/>
          </w:tcPr>
          <w:p w14:paraId="6EBAF2D3" w14:textId="6F3636BE" w:rsidR="001E13F4" w:rsidRPr="009D6577" w:rsidRDefault="5D4926B8" w:rsidP="6C44D83A">
            <w:pPr>
              <w:numPr>
                <w:ilvl w:val="0"/>
                <w:numId w:val="8"/>
              </w:numPr>
              <w:spacing w:after="0" w:line="240" w:lineRule="auto"/>
              <w:jc w:val="both"/>
              <w:rPr>
                <w:rFonts w:ascii="Arial" w:hAnsi="Arial" w:cs="Arial"/>
                <w:b/>
                <w:bCs/>
              </w:rPr>
            </w:pPr>
            <w:r w:rsidRPr="6C44D83A">
              <w:rPr>
                <w:rFonts w:ascii="Arial" w:eastAsia="Times New Roman" w:hAnsi="Arial" w:cs="Arial"/>
                <w:noProof w:val="0"/>
                <w:lang w:eastAsia="en-GB"/>
              </w:rPr>
              <w:t>U</w:t>
            </w:r>
            <w:r w:rsidR="597B119E" w:rsidRPr="6C44D83A">
              <w:rPr>
                <w:rFonts w:ascii="Arial" w:eastAsia="Times New Roman" w:hAnsi="Arial" w:cs="Arial"/>
                <w:noProof w:val="0"/>
                <w:lang w:eastAsia="en-GB"/>
              </w:rPr>
              <w:t>ndertak</w:t>
            </w:r>
            <w:r w:rsidR="641E85C6" w:rsidRPr="6C44D83A">
              <w:rPr>
                <w:rFonts w:ascii="Arial" w:eastAsia="Times New Roman" w:hAnsi="Arial" w:cs="Arial"/>
                <w:noProof w:val="0"/>
                <w:lang w:eastAsia="en-GB"/>
              </w:rPr>
              <w:t>e</w:t>
            </w:r>
            <w:r w:rsidR="597B119E" w:rsidRPr="6C44D83A">
              <w:rPr>
                <w:rFonts w:ascii="Arial" w:eastAsia="Times New Roman" w:hAnsi="Arial" w:cs="Arial"/>
                <w:noProof w:val="0"/>
                <w:lang w:eastAsia="en-GB"/>
              </w:rPr>
              <w:t xml:space="preserve"> </w:t>
            </w:r>
            <w:r w:rsidR="64148CCF" w:rsidRPr="6C44D83A">
              <w:rPr>
                <w:rFonts w:ascii="Arial" w:eastAsia="Times New Roman" w:hAnsi="Arial" w:cs="Arial"/>
                <w:noProof w:val="0"/>
                <w:lang w:eastAsia="en-GB"/>
              </w:rPr>
              <w:t>a formal and rigorous review, annually, of its own performance, that of its committees</w:t>
            </w:r>
            <w:r w:rsidR="6AC9EBD0" w:rsidRPr="6C44D83A">
              <w:rPr>
                <w:rFonts w:ascii="Arial" w:eastAsia="Times New Roman" w:hAnsi="Arial" w:cs="Arial"/>
                <w:noProof w:val="0"/>
                <w:lang w:eastAsia="en-GB"/>
              </w:rPr>
              <w:t>,</w:t>
            </w:r>
            <w:r w:rsidR="64148CCF" w:rsidRPr="6C44D83A">
              <w:rPr>
                <w:rFonts w:ascii="Arial" w:eastAsia="Times New Roman" w:hAnsi="Arial" w:cs="Arial"/>
                <w:noProof w:val="0"/>
                <w:lang w:eastAsia="en-GB"/>
              </w:rPr>
              <w:t xml:space="preserve"> individual </w:t>
            </w:r>
            <w:r w:rsidR="3A033352" w:rsidRPr="6C44D83A">
              <w:rPr>
                <w:rFonts w:ascii="Arial" w:eastAsia="Times New Roman" w:hAnsi="Arial" w:cs="Arial"/>
                <w:noProof w:val="0"/>
                <w:lang w:eastAsia="en-GB"/>
              </w:rPr>
              <w:t>D</w:t>
            </w:r>
            <w:r w:rsidR="64148CCF" w:rsidRPr="6C44D83A">
              <w:rPr>
                <w:rFonts w:ascii="Arial" w:eastAsia="Times New Roman" w:hAnsi="Arial" w:cs="Arial"/>
                <w:noProof w:val="0"/>
                <w:lang w:eastAsia="en-GB"/>
              </w:rPr>
              <w:t xml:space="preserve">irectors and </w:t>
            </w:r>
            <w:r w:rsidR="6AC9EBD0" w:rsidRPr="6C44D83A">
              <w:rPr>
                <w:rFonts w:ascii="Arial" w:eastAsia="Times New Roman" w:hAnsi="Arial" w:cs="Arial"/>
                <w:noProof w:val="0"/>
                <w:lang w:eastAsia="en-GB"/>
              </w:rPr>
              <w:t xml:space="preserve">the </w:t>
            </w:r>
            <w:r w:rsidR="3A033352" w:rsidRPr="6C44D83A">
              <w:rPr>
                <w:rFonts w:ascii="Arial" w:eastAsia="Times New Roman" w:hAnsi="Arial" w:cs="Arial"/>
                <w:noProof w:val="0"/>
                <w:lang w:eastAsia="en-GB"/>
              </w:rPr>
              <w:t>C</w:t>
            </w:r>
            <w:r w:rsidR="6AC9EBD0" w:rsidRPr="6C44D83A">
              <w:rPr>
                <w:rFonts w:ascii="Arial" w:eastAsia="Times New Roman" w:hAnsi="Arial" w:cs="Arial"/>
                <w:noProof w:val="0"/>
                <w:lang w:eastAsia="en-GB"/>
              </w:rPr>
              <w:t>hair</w:t>
            </w:r>
            <w:r w:rsidR="3D7E7C18" w:rsidRPr="6C44D83A">
              <w:rPr>
                <w:rFonts w:ascii="Arial" w:eastAsia="Times New Roman" w:hAnsi="Arial" w:cs="Arial"/>
                <w:noProof w:val="0"/>
                <w:lang w:eastAsia="en-GB"/>
              </w:rPr>
              <w:t>, which should be</w:t>
            </w:r>
            <w:r w:rsidR="7F0B5B6E" w:rsidRPr="6C44D83A">
              <w:rPr>
                <w:rFonts w:ascii="Arial" w:eastAsia="Times New Roman" w:hAnsi="Arial" w:cs="Arial"/>
                <w:noProof w:val="0"/>
                <w:lang w:eastAsia="en-GB"/>
              </w:rPr>
              <w:t xml:space="preserve"> </w:t>
            </w:r>
            <w:r w:rsidR="64148CCF" w:rsidRPr="6C44D83A">
              <w:rPr>
                <w:rFonts w:ascii="Arial" w:eastAsia="Times New Roman" w:hAnsi="Arial" w:cs="Arial"/>
                <w:noProof w:val="0"/>
                <w:lang w:eastAsia="en-GB"/>
              </w:rPr>
              <w:t>externally facilitated at least every three years</w:t>
            </w:r>
            <w:r w:rsidR="6224B0FA" w:rsidRPr="6C44D83A">
              <w:rPr>
                <w:rFonts w:ascii="Arial" w:eastAsia="Times New Roman" w:hAnsi="Arial" w:cs="Arial"/>
                <w:noProof w:val="0"/>
                <w:lang w:eastAsia="en-GB"/>
              </w:rPr>
              <w:t>.</w:t>
            </w:r>
          </w:p>
          <w:p w14:paraId="3BC77EA0" w14:textId="27DF830C" w:rsidR="009E1287" w:rsidRPr="009D6577" w:rsidRDefault="5D4926B8" w:rsidP="6C44D83A">
            <w:pPr>
              <w:numPr>
                <w:ilvl w:val="0"/>
                <w:numId w:val="8"/>
              </w:numPr>
              <w:spacing w:after="0" w:line="240" w:lineRule="auto"/>
              <w:jc w:val="both"/>
              <w:rPr>
                <w:rFonts w:ascii="Arial" w:hAnsi="Arial" w:cs="Arial"/>
                <w:b/>
                <w:bCs/>
              </w:rPr>
            </w:pPr>
            <w:r w:rsidRPr="6C44D83A">
              <w:rPr>
                <w:rFonts w:ascii="Arial" w:eastAsia="Times New Roman" w:hAnsi="Arial" w:cs="Arial"/>
                <w:noProof w:val="0"/>
                <w:lang w:eastAsia="en-GB"/>
              </w:rPr>
              <w:t>R</w:t>
            </w:r>
            <w:r w:rsidR="6C8DC85D" w:rsidRPr="6C44D83A">
              <w:rPr>
                <w:rFonts w:ascii="Arial" w:eastAsia="Times New Roman" w:hAnsi="Arial" w:cs="Arial"/>
                <w:noProof w:val="0"/>
                <w:lang w:eastAsia="en-GB"/>
              </w:rPr>
              <w:t xml:space="preserve">eview </w:t>
            </w:r>
            <w:r w:rsidR="09141561" w:rsidRPr="6C44D83A">
              <w:rPr>
                <w:rFonts w:ascii="Arial" w:eastAsia="Times New Roman" w:hAnsi="Arial" w:cs="Arial"/>
                <w:noProof w:val="0"/>
                <w:lang w:eastAsia="en-GB"/>
              </w:rPr>
              <w:t>the results of</w:t>
            </w:r>
            <w:r w:rsidR="6C8DC85D" w:rsidRPr="6C44D83A">
              <w:rPr>
                <w:rFonts w:ascii="Arial" w:eastAsia="Times New Roman" w:hAnsi="Arial" w:cs="Arial"/>
                <w:noProof w:val="0"/>
                <w:lang w:eastAsia="en-GB"/>
              </w:rPr>
              <w:t xml:space="preserve"> </w:t>
            </w:r>
            <w:r w:rsidR="09141561" w:rsidRPr="6C44D83A">
              <w:rPr>
                <w:rFonts w:ascii="Arial" w:eastAsia="Times New Roman" w:hAnsi="Arial" w:cs="Arial"/>
                <w:noProof w:val="0"/>
                <w:lang w:eastAsia="en-GB"/>
              </w:rPr>
              <w:t xml:space="preserve">and </w:t>
            </w:r>
            <w:r w:rsidR="6C8DC85D" w:rsidRPr="6C44D83A">
              <w:rPr>
                <w:rFonts w:ascii="Arial" w:eastAsia="Times New Roman" w:hAnsi="Arial" w:cs="Arial"/>
                <w:noProof w:val="0"/>
                <w:lang w:eastAsia="en-GB"/>
              </w:rPr>
              <w:t xml:space="preserve">agree </w:t>
            </w:r>
            <w:r w:rsidR="09141561" w:rsidRPr="6C44D83A">
              <w:rPr>
                <w:rFonts w:ascii="Arial" w:eastAsia="Times New Roman" w:hAnsi="Arial" w:cs="Arial"/>
                <w:noProof w:val="0"/>
                <w:lang w:eastAsia="en-GB"/>
              </w:rPr>
              <w:t xml:space="preserve">actions resulting from the Board evaluation for the purposes of recognising strengths and addressing any </w:t>
            </w:r>
            <w:r w:rsidR="7C1D0924" w:rsidRPr="6C44D83A">
              <w:rPr>
                <w:rFonts w:ascii="Arial" w:eastAsia="Times New Roman" w:hAnsi="Arial" w:cs="Arial"/>
                <w:noProof w:val="0"/>
                <w:lang w:eastAsia="en-GB"/>
              </w:rPr>
              <w:t>development areas</w:t>
            </w:r>
            <w:r w:rsidR="09141561" w:rsidRPr="6C44D83A">
              <w:rPr>
                <w:rFonts w:ascii="Arial" w:eastAsia="Times New Roman" w:hAnsi="Arial" w:cs="Arial"/>
                <w:noProof w:val="0"/>
                <w:lang w:eastAsia="en-GB"/>
              </w:rPr>
              <w:t xml:space="preserve"> identified</w:t>
            </w:r>
            <w:r w:rsidR="6224B0FA" w:rsidRPr="6C44D83A">
              <w:rPr>
                <w:rFonts w:ascii="Arial" w:eastAsia="Times New Roman" w:hAnsi="Arial" w:cs="Arial"/>
                <w:noProof w:val="0"/>
                <w:lang w:eastAsia="en-GB"/>
              </w:rPr>
              <w:t>.</w:t>
            </w:r>
            <w:r w:rsidR="09141561" w:rsidRPr="6C44D83A">
              <w:rPr>
                <w:rFonts w:ascii="Arial" w:eastAsia="Times New Roman" w:hAnsi="Arial" w:cs="Arial"/>
                <w:noProof w:val="0"/>
                <w:lang w:eastAsia="en-GB"/>
              </w:rPr>
              <w:t xml:space="preserve"> </w:t>
            </w:r>
          </w:p>
          <w:p w14:paraId="1A97973E" w14:textId="413BA4D9" w:rsidR="005E0383" w:rsidRPr="009D6577" w:rsidRDefault="30529EAB" w:rsidP="6C44D83A">
            <w:pPr>
              <w:numPr>
                <w:ilvl w:val="0"/>
                <w:numId w:val="8"/>
              </w:numPr>
              <w:spacing w:after="0" w:line="240" w:lineRule="auto"/>
              <w:jc w:val="both"/>
              <w:rPr>
                <w:rFonts w:ascii="Arial" w:hAnsi="Arial" w:cs="Arial"/>
                <w:b/>
                <w:bCs/>
              </w:rPr>
            </w:pPr>
            <w:r w:rsidRPr="6C44D83A">
              <w:rPr>
                <w:rFonts w:ascii="Arial" w:eastAsia="Times New Roman" w:hAnsi="Arial" w:cs="Arial"/>
                <w:noProof w:val="0"/>
                <w:lang w:eastAsia="en-GB"/>
              </w:rPr>
              <w:t xml:space="preserve">On appointment, </w:t>
            </w:r>
            <w:r w:rsidR="00A97386" w:rsidRPr="6C44D83A">
              <w:rPr>
                <w:rFonts w:ascii="Arial" w:eastAsia="Times New Roman" w:hAnsi="Arial" w:cs="Arial"/>
                <w:noProof w:val="0"/>
                <w:lang w:eastAsia="en-GB"/>
              </w:rPr>
              <w:t>determine</w:t>
            </w:r>
            <w:r w:rsidR="09141561" w:rsidRPr="6C44D83A">
              <w:rPr>
                <w:rFonts w:ascii="Arial" w:eastAsia="Times New Roman" w:hAnsi="Arial" w:cs="Arial"/>
                <w:noProof w:val="0"/>
                <w:lang w:eastAsia="en-GB"/>
              </w:rPr>
              <w:t xml:space="preserve"> the independence of </w:t>
            </w:r>
            <w:r w:rsidR="15F10627" w:rsidRPr="6C44D83A">
              <w:rPr>
                <w:rFonts w:ascii="Arial" w:eastAsia="Times New Roman" w:hAnsi="Arial" w:cs="Arial"/>
                <w:noProof w:val="0"/>
                <w:lang w:eastAsia="en-GB"/>
              </w:rPr>
              <w:t>N</w:t>
            </w:r>
            <w:r w:rsidR="09141561" w:rsidRPr="6C44D83A">
              <w:rPr>
                <w:rFonts w:ascii="Arial" w:eastAsia="Times New Roman" w:hAnsi="Arial" w:cs="Arial"/>
                <w:noProof w:val="0"/>
                <w:lang w:eastAsia="en-GB"/>
              </w:rPr>
              <w:t>on-</w:t>
            </w:r>
            <w:r w:rsidR="15F10627" w:rsidRPr="6C44D83A">
              <w:rPr>
                <w:rFonts w:ascii="Arial" w:eastAsia="Times New Roman" w:hAnsi="Arial" w:cs="Arial"/>
                <w:noProof w:val="0"/>
                <w:lang w:eastAsia="en-GB"/>
              </w:rPr>
              <w:t>E</w:t>
            </w:r>
            <w:r w:rsidR="09141561" w:rsidRPr="6C44D83A">
              <w:rPr>
                <w:rFonts w:ascii="Arial" w:eastAsia="Times New Roman" w:hAnsi="Arial" w:cs="Arial"/>
                <w:noProof w:val="0"/>
                <w:lang w:eastAsia="en-GB"/>
              </w:rPr>
              <w:t xml:space="preserve">xecutive </w:t>
            </w:r>
            <w:r w:rsidR="15F10627" w:rsidRPr="6C44D83A">
              <w:rPr>
                <w:rFonts w:ascii="Arial" w:eastAsia="Times New Roman" w:hAnsi="Arial" w:cs="Arial"/>
                <w:noProof w:val="0"/>
                <w:lang w:eastAsia="en-GB"/>
              </w:rPr>
              <w:t>D</w:t>
            </w:r>
            <w:r w:rsidR="09141561" w:rsidRPr="6C44D83A">
              <w:rPr>
                <w:rFonts w:ascii="Arial" w:eastAsia="Times New Roman" w:hAnsi="Arial" w:cs="Arial"/>
                <w:noProof w:val="0"/>
                <w:lang w:eastAsia="en-GB"/>
              </w:rPr>
              <w:t>irectors</w:t>
            </w:r>
            <w:r w:rsidR="339B08E5" w:rsidRPr="6C44D83A">
              <w:rPr>
                <w:rFonts w:ascii="Arial" w:eastAsia="Times New Roman" w:hAnsi="Arial" w:cs="Arial"/>
                <w:noProof w:val="0"/>
                <w:lang w:eastAsia="en-GB"/>
              </w:rPr>
              <w:t xml:space="preserve"> following a recommendation from the Nomination Committee</w:t>
            </w:r>
            <w:r w:rsidR="6224B0FA" w:rsidRPr="6C44D83A">
              <w:rPr>
                <w:rFonts w:ascii="Arial" w:eastAsia="Times New Roman" w:hAnsi="Arial" w:cs="Arial"/>
                <w:noProof w:val="0"/>
                <w:lang w:eastAsia="en-GB"/>
              </w:rPr>
              <w:t>.</w:t>
            </w:r>
          </w:p>
          <w:p w14:paraId="366722BA" w14:textId="30481FEB" w:rsidR="001E13F4" w:rsidRPr="009D6577" w:rsidRDefault="5D4926B8" w:rsidP="6C44D83A">
            <w:pPr>
              <w:numPr>
                <w:ilvl w:val="0"/>
                <w:numId w:val="8"/>
              </w:numPr>
              <w:spacing w:after="0" w:line="240" w:lineRule="auto"/>
              <w:jc w:val="both"/>
              <w:rPr>
                <w:rFonts w:ascii="Arial" w:hAnsi="Arial" w:cs="Arial"/>
                <w:b/>
                <w:bCs/>
              </w:rPr>
            </w:pPr>
            <w:r w:rsidRPr="6C44D83A">
              <w:rPr>
                <w:rFonts w:ascii="Arial" w:eastAsia="Times New Roman" w:hAnsi="Arial" w:cs="Arial"/>
                <w:noProof w:val="0"/>
                <w:lang w:eastAsia="en-GB"/>
              </w:rPr>
              <w:t>C</w:t>
            </w:r>
            <w:r w:rsidR="597B119E" w:rsidRPr="6C44D83A">
              <w:rPr>
                <w:rFonts w:ascii="Arial" w:eastAsia="Times New Roman" w:hAnsi="Arial" w:cs="Arial"/>
                <w:noProof w:val="0"/>
                <w:lang w:eastAsia="en-GB"/>
              </w:rPr>
              <w:t xml:space="preserve">onsider </w:t>
            </w:r>
            <w:r w:rsidR="63E8B7BE" w:rsidRPr="6C44D83A">
              <w:rPr>
                <w:rFonts w:ascii="Arial" w:eastAsia="Times New Roman" w:hAnsi="Arial" w:cs="Arial"/>
                <w:noProof w:val="0"/>
                <w:lang w:eastAsia="en-GB"/>
              </w:rPr>
              <w:t xml:space="preserve">the balance of interests between shareholders, employees, customers </w:t>
            </w:r>
            <w:r w:rsidR="6C8DC85D" w:rsidRPr="6C44D83A">
              <w:rPr>
                <w:rFonts w:ascii="Arial" w:eastAsia="Times New Roman" w:hAnsi="Arial" w:cs="Arial"/>
                <w:noProof w:val="0"/>
                <w:lang w:eastAsia="en-GB"/>
              </w:rPr>
              <w:t>and the Company’s other stakeholders and describ</w:t>
            </w:r>
            <w:r w:rsidR="665EE9FD" w:rsidRPr="6C44D83A">
              <w:rPr>
                <w:rFonts w:ascii="Arial" w:eastAsia="Times New Roman" w:hAnsi="Arial" w:cs="Arial"/>
                <w:noProof w:val="0"/>
                <w:lang w:eastAsia="en-GB"/>
              </w:rPr>
              <w:t>e</w:t>
            </w:r>
            <w:r w:rsidR="6C8DC85D" w:rsidRPr="6C44D83A">
              <w:rPr>
                <w:rFonts w:ascii="Arial" w:eastAsia="Times New Roman" w:hAnsi="Arial" w:cs="Arial"/>
                <w:noProof w:val="0"/>
                <w:lang w:eastAsia="en-GB"/>
              </w:rPr>
              <w:t xml:space="preserve"> in the Annual Report how their interests and matters set out in section 172 of the Companies Act 2006 have been considered</w:t>
            </w:r>
            <w:r w:rsidR="0390B707" w:rsidRPr="6C44D83A">
              <w:rPr>
                <w:rFonts w:ascii="Arial" w:eastAsia="Times New Roman" w:hAnsi="Arial" w:cs="Arial"/>
                <w:noProof w:val="0"/>
                <w:lang w:eastAsia="en-GB"/>
              </w:rPr>
              <w:t xml:space="preserve"> by </w:t>
            </w:r>
            <w:r w:rsidR="3DF29CB1" w:rsidRPr="6C44D83A">
              <w:rPr>
                <w:rFonts w:ascii="Arial" w:eastAsia="Times New Roman" w:hAnsi="Arial" w:cs="Arial"/>
                <w:noProof w:val="0"/>
                <w:lang w:eastAsia="en-GB"/>
              </w:rPr>
              <w:t xml:space="preserve">the </w:t>
            </w:r>
            <w:r w:rsidR="0390B707" w:rsidRPr="6C44D83A">
              <w:rPr>
                <w:rFonts w:ascii="Arial" w:eastAsia="Times New Roman" w:hAnsi="Arial" w:cs="Arial"/>
                <w:noProof w:val="0"/>
                <w:lang w:eastAsia="en-GB"/>
              </w:rPr>
              <w:t>Board</w:t>
            </w:r>
            <w:r w:rsidR="6224B0FA" w:rsidRPr="6C44D83A">
              <w:rPr>
                <w:rFonts w:ascii="Arial" w:eastAsia="Times New Roman" w:hAnsi="Arial" w:cs="Arial"/>
                <w:noProof w:val="0"/>
                <w:lang w:eastAsia="en-GB"/>
              </w:rPr>
              <w:t>.</w:t>
            </w:r>
          </w:p>
          <w:p w14:paraId="600EBEC3" w14:textId="33646BE1" w:rsidR="00906493" w:rsidRPr="009D6577" w:rsidRDefault="5D4926B8" w:rsidP="6C44D83A">
            <w:pPr>
              <w:numPr>
                <w:ilvl w:val="0"/>
                <w:numId w:val="8"/>
              </w:numPr>
              <w:spacing w:after="0" w:line="240" w:lineRule="auto"/>
              <w:jc w:val="both"/>
              <w:rPr>
                <w:rFonts w:ascii="Arial" w:hAnsi="Arial" w:cs="Arial"/>
                <w:b/>
                <w:bCs/>
              </w:rPr>
            </w:pPr>
            <w:r w:rsidRPr="6C44D83A">
              <w:rPr>
                <w:rFonts w:ascii="Arial" w:eastAsia="Times New Roman" w:hAnsi="Arial" w:cs="Arial"/>
                <w:noProof w:val="0"/>
                <w:lang w:eastAsia="en-GB"/>
              </w:rPr>
              <w:t>E</w:t>
            </w:r>
            <w:r w:rsidR="6C8DC85D" w:rsidRPr="6C44D83A">
              <w:rPr>
                <w:rFonts w:ascii="Arial" w:eastAsia="Times New Roman" w:hAnsi="Arial" w:cs="Arial"/>
                <w:noProof w:val="0"/>
                <w:lang w:eastAsia="en-GB"/>
              </w:rPr>
              <w:t>nsur</w:t>
            </w:r>
            <w:r w:rsidR="10294366" w:rsidRPr="6C44D83A">
              <w:rPr>
                <w:rFonts w:ascii="Arial" w:eastAsia="Times New Roman" w:hAnsi="Arial" w:cs="Arial"/>
                <w:noProof w:val="0"/>
                <w:lang w:eastAsia="en-GB"/>
              </w:rPr>
              <w:t>e</w:t>
            </w:r>
            <w:r w:rsidR="6C8DC85D" w:rsidRPr="6C44D83A">
              <w:rPr>
                <w:rFonts w:ascii="Arial" w:eastAsia="Times New Roman" w:hAnsi="Arial" w:cs="Arial"/>
                <w:noProof w:val="0"/>
                <w:lang w:eastAsia="en-GB"/>
              </w:rPr>
              <w:t xml:space="preserve"> an effective engagement strategy with, and encourag</w:t>
            </w:r>
            <w:r w:rsidR="1C6014D8" w:rsidRPr="6C44D83A">
              <w:rPr>
                <w:rFonts w:ascii="Arial" w:eastAsia="Times New Roman" w:hAnsi="Arial" w:cs="Arial"/>
                <w:noProof w:val="0"/>
                <w:lang w:eastAsia="en-GB"/>
              </w:rPr>
              <w:t>e</w:t>
            </w:r>
            <w:r w:rsidR="6C8DC85D" w:rsidRPr="6C44D83A">
              <w:rPr>
                <w:rFonts w:ascii="Arial" w:eastAsia="Times New Roman" w:hAnsi="Arial" w:cs="Arial"/>
                <w:noProof w:val="0"/>
                <w:lang w:eastAsia="en-GB"/>
              </w:rPr>
              <w:t xml:space="preserve"> participation from key stakeholders</w:t>
            </w:r>
            <w:r w:rsidR="7026C8B9" w:rsidRPr="6C44D83A">
              <w:rPr>
                <w:rFonts w:ascii="Arial" w:eastAsia="Times New Roman" w:hAnsi="Arial" w:cs="Arial"/>
                <w:noProof w:val="0"/>
                <w:lang w:eastAsia="en-GB"/>
              </w:rPr>
              <w:t>,</w:t>
            </w:r>
            <w:r w:rsidR="6C8DC85D" w:rsidRPr="6C44D83A">
              <w:rPr>
                <w:rFonts w:ascii="Arial" w:eastAsia="Times New Roman" w:hAnsi="Arial" w:cs="Arial"/>
                <w:noProof w:val="0"/>
                <w:lang w:eastAsia="en-GB"/>
              </w:rPr>
              <w:t xml:space="preserve"> and keep engagement mechanisms under review</w:t>
            </w:r>
            <w:r w:rsidR="6224B0FA" w:rsidRPr="6C44D83A">
              <w:rPr>
                <w:rFonts w:ascii="Arial" w:eastAsia="Times New Roman" w:hAnsi="Arial" w:cs="Arial"/>
                <w:noProof w:val="0"/>
                <w:lang w:eastAsia="en-GB"/>
              </w:rPr>
              <w:t>.</w:t>
            </w:r>
            <w:r w:rsidR="1FC992CE" w:rsidRPr="6C44D83A">
              <w:rPr>
                <w:rFonts w:ascii="Arial" w:eastAsia="Times New Roman" w:hAnsi="Arial" w:cs="Arial"/>
                <w:noProof w:val="0"/>
                <w:color w:val="4B5359"/>
                <w:lang w:eastAsia="en-GB"/>
              </w:rPr>
              <w:t xml:space="preserve"> </w:t>
            </w:r>
          </w:p>
        </w:tc>
      </w:tr>
      <w:tr w:rsidR="000B6D47" w:rsidRPr="009D6577" w14:paraId="7CBE653E" w14:textId="77777777" w:rsidTr="5C450D93">
        <w:tc>
          <w:tcPr>
            <w:tcW w:w="816" w:type="dxa"/>
          </w:tcPr>
          <w:p w14:paraId="4E1E336A" w14:textId="2E8B6244" w:rsidR="000B6D47" w:rsidRPr="009D6577" w:rsidRDefault="000B6D47" w:rsidP="34100F9C">
            <w:pPr>
              <w:spacing w:after="0" w:line="240" w:lineRule="auto"/>
              <w:rPr>
                <w:rFonts w:ascii="Arial" w:hAnsi="Arial" w:cs="Arial"/>
                <w:b/>
                <w:bCs/>
              </w:rPr>
            </w:pPr>
            <w:r w:rsidRPr="34100F9C">
              <w:rPr>
                <w:rFonts w:ascii="Arial" w:hAnsi="Arial" w:cs="Arial"/>
                <w:b/>
                <w:bCs/>
              </w:rPr>
              <w:t>1</w:t>
            </w:r>
            <w:r w:rsidR="6EA1AEE3" w:rsidRPr="34100F9C">
              <w:rPr>
                <w:rFonts w:ascii="Arial" w:hAnsi="Arial" w:cs="Arial"/>
                <w:b/>
                <w:bCs/>
              </w:rPr>
              <w:t>5</w:t>
            </w:r>
          </w:p>
        </w:tc>
        <w:tc>
          <w:tcPr>
            <w:tcW w:w="8506" w:type="dxa"/>
          </w:tcPr>
          <w:p w14:paraId="2742E677" w14:textId="77777777" w:rsidR="000B6D47" w:rsidRPr="009D6577" w:rsidRDefault="000B6D47" w:rsidP="003A4A4F">
            <w:pPr>
              <w:spacing w:after="0" w:line="240" w:lineRule="auto"/>
              <w:rPr>
                <w:rFonts w:ascii="Arial" w:hAnsi="Arial" w:cs="Arial"/>
                <w:b/>
              </w:rPr>
            </w:pPr>
            <w:r w:rsidRPr="009D6577">
              <w:rPr>
                <w:rFonts w:ascii="Arial" w:hAnsi="Arial" w:cs="Arial"/>
                <w:b/>
              </w:rPr>
              <w:t>Other</w:t>
            </w:r>
            <w:r w:rsidR="00CF2470">
              <w:rPr>
                <w:rFonts w:ascii="Arial" w:hAnsi="Arial" w:cs="Arial"/>
                <w:b/>
              </w:rPr>
              <w:t xml:space="preserve"> Matters</w:t>
            </w:r>
          </w:p>
        </w:tc>
      </w:tr>
      <w:tr w:rsidR="00272B46" w:rsidRPr="009D6577" w14:paraId="40C774C8" w14:textId="77777777" w:rsidTr="5C450D93">
        <w:tc>
          <w:tcPr>
            <w:tcW w:w="816" w:type="dxa"/>
          </w:tcPr>
          <w:p w14:paraId="6761F43D" w14:textId="442EBF9A" w:rsidR="00272B46" w:rsidRPr="34100F9C" w:rsidRDefault="00D76A1D" w:rsidP="003A4A4F">
            <w:pPr>
              <w:spacing w:after="0" w:line="240" w:lineRule="auto"/>
              <w:rPr>
                <w:rFonts w:ascii="Arial" w:hAnsi="Arial" w:cs="Arial"/>
              </w:rPr>
            </w:pPr>
            <w:r>
              <w:rPr>
                <w:rFonts w:ascii="Arial" w:hAnsi="Arial" w:cs="Arial"/>
              </w:rPr>
              <w:t>15.1</w:t>
            </w:r>
          </w:p>
        </w:tc>
        <w:tc>
          <w:tcPr>
            <w:tcW w:w="8506" w:type="dxa"/>
          </w:tcPr>
          <w:p w14:paraId="33E3AF43" w14:textId="7E9E5CB0" w:rsidR="00272B46" w:rsidRPr="009D6577" w:rsidRDefault="00272B46" w:rsidP="00CF2470">
            <w:pPr>
              <w:spacing w:after="0" w:line="240" w:lineRule="auto"/>
              <w:jc w:val="both"/>
              <w:rPr>
                <w:rFonts w:ascii="Arial" w:hAnsi="Arial" w:cs="Arial"/>
              </w:rPr>
            </w:pPr>
            <w:r>
              <w:rPr>
                <w:rFonts w:ascii="Arial" w:hAnsi="Arial" w:cs="Arial"/>
              </w:rPr>
              <w:t>Brighter Future Fund payment</w:t>
            </w:r>
            <w:r w:rsidR="002F2E08">
              <w:rPr>
                <w:rFonts w:ascii="Arial" w:hAnsi="Arial" w:cs="Arial"/>
              </w:rPr>
              <w:t>s</w:t>
            </w:r>
            <w:r>
              <w:rPr>
                <w:rFonts w:ascii="Arial" w:hAnsi="Arial" w:cs="Arial"/>
              </w:rPr>
              <w:t>.</w:t>
            </w:r>
          </w:p>
        </w:tc>
      </w:tr>
      <w:tr w:rsidR="000B6D47" w:rsidRPr="009D6577" w14:paraId="3EBB69B5" w14:textId="77777777" w:rsidTr="5C450D93">
        <w:tc>
          <w:tcPr>
            <w:tcW w:w="816" w:type="dxa"/>
          </w:tcPr>
          <w:p w14:paraId="30BCB9D0" w14:textId="59FF39C2" w:rsidR="000B6D47" w:rsidRPr="009D6577" w:rsidRDefault="000B6D47" w:rsidP="003A4A4F">
            <w:pPr>
              <w:spacing w:after="0" w:line="240" w:lineRule="auto"/>
              <w:rPr>
                <w:rFonts w:ascii="Arial" w:hAnsi="Arial" w:cs="Arial"/>
              </w:rPr>
            </w:pPr>
            <w:r w:rsidRPr="34100F9C">
              <w:rPr>
                <w:rFonts w:ascii="Arial" w:hAnsi="Arial" w:cs="Arial"/>
              </w:rPr>
              <w:t>1</w:t>
            </w:r>
            <w:r w:rsidR="52805FFC" w:rsidRPr="34100F9C">
              <w:rPr>
                <w:rFonts w:ascii="Arial" w:hAnsi="Arial" w:cs="Arial"/>
              </w:rPr>
              <w:t>5</w:t>
            </w:r>
            <w:r w:rsidRPr="34100F9C">
              <w:rPr>
                <w:rFonts w:ascii="Arial" w:hAnsi="Arial" w:cs="Arial"/>
              </w:rPr>
              <w:t>.</w:t>
            </w:r>
            <w:r w:rsidR="00D76A1D">
              <w:rPr>
                <w:rFonts w:ascii="Arial" w:hAnsi="Arial" w:cs="Arial"/>
              </w:rPr>
              <w:t>2</w:t>
            </w:r>
          </w:p>
        </w:tc>
        <w:tc>
          <w:tcPr>
            <w:tcW w:w="8506" w:type="dxa"/>
          </w:tcPr>
          <w:p w14:paraId="39C63A2E" w14:textId="77777777" w:rsidR="000B6D47" w:rsidRPr="009D6577" w:rsidRDefault="00C06AA4" w:rsidP="00CF2470">
            <w:pPr>
              <w:spacing w:after="0" w:line="240" w:lineRule="auto"/>
              <w:jc w:val="both"/>
              <w:rPr>
                <w:rFonts w:ascii="Arial" w:hAnsi="Arial" w:cs="Arial"/>
              </w:rPr>
            </w:pPr>
            <w:r w:rsidRPr="009D6577">
              <w:rPr>
                <w:rFonts w:ascii="Arial" w:hAnsi="Arial" w:cs="Arial"/>
              </w:rPr>
              <w:t>M</w:t>
            </w:r>
            <w:r w:rsidR="000B6D47" w:rsidRPr="009D6577">
              <w:rPr>
                <w:rFonts w:ascii="Arial" w:hAnsi="Arial" w:cs="Arial"/>
              </w:rPr>
              <w:t>aking of political donations.</w:t>
            </w:r>
          </w:p>
        </w:tc>
      </w:tr>
      <w:tr w:rsidR="000B6D47" w:rsidRPr="009D6577" w14:paraId="789E44CF" w14:textId="77777777" w:rsidTr="5C450D93">
        <w:tc>
          <w:tcPr>
            <w:tcW w:w="816" w:type="dxa"/>
          </w:tcPr>
          <w:p w14:paraId="122000CF" w14:textId="15C54A10" w:rsidR="000B6D47" w:rsidRPr="009D6577" w:rsidRDefault="000B6D47" w:rsidP="003A4A4F">
            <w:pPr>
              <w:spacing w:after="0" w:line="240" w:lineRule="auto"/>
              <w:rPr>
                <w:rFonts w:ascii="Arial" w:hAnsi="Arial" w:cs="Arial"/>
              </w:rPr>
            </w:pPr>
            <w:r w:rsidRPr="34100F9C">
              <w:rPr>
                <w:rFonts w:ascii="Arial" w:hAnsi="Arial" w:cs="Arial"/>
              </w:rPr>
              <w:t>1</w:t>
            </w:r>
            <w:r w:rsidR="646CB0F1" w:rsidRPr="34100F9C">
              <w:rPr>
                <w:rFonts w:ascii="Arial" w:hAnsi="Arial" w:cs="Arial"/>
              </w:rPr>
              <w:t>5</w:t>
            </w:r>
            <w:r w:rsidRPr="34100F9C">
              <w:rPr>
                <w:rFonts w:ascii="Arial" w:hAnsi="Arial" w:cs="Arial"/>
              </w:rPr>
              <w:t>.</w:t>
            </w:r>
            <w:r w:rsidR="00D76A1D">
              <w:rPr>
                <w:rFonts w:ascii="Arial" w:hAnsi="Arial" w:cs="Arial"/>
              </w:rPr>
              <w:t>3</w:t>
            </w:r>
          </w:p>
        </w:tc>
        <w:tc>
          <w:tcPr>
            <w:tcW w:w="8506" w:type="dxa"/>
          </w:tcPr>
          <w:p w14:paraId="4EB913E9" w14:textId="77777777" w:rsidR="000B6D47" w:rsidRPr="009D6577" w:rsidRDefault="00C06AA4" w:rsidP="00CF2470">
            <w:pPr>
              <w:spacing w:after="0" w:line="240" w:lineRule="auto"/>
              <w:jc w:val="both"/>
              <w:rPr>
                <w:rFonts w:ascii="Arial" w:hAnsi="Arial" w:cs="Arial"/>
              </w:rPr>
            </w:pPr>
            <w:bookmarkStart w:id="0" w:name="_Hlk103252262"/>
            <w:r w:rsidRPr="009D6577">
              <w:rPr>
                <w:rFonts w:ascii="Arial" w:hAnsi="Arial" w:cs="Arial"/>
              </w:rPr>
              <w:t>P</w:t>
            </w:r>
            <w:r w:rsidR="000B6D47" w:rsidRPr="009D6577">
              <w:rPr>
                <w:rFonts w:ascii="Arial" w:hAnsi="Arial" w:cs="Arial"/>
              </w:rPr>
              <w:t>rosecut</w:t>
            </w:r>
            <w:r w:rsidRPr="009D6577">
              <w:rPr>
                <w:rFonts w:ascii="Arial" w:hAnsi="Arial" w:cs="Arial"/>
              </w:rPr>
              <w:t>ion</w:t>
            </w:r>
            <w:r w:rsidR="000B6D47" w:rsidRPr="009D6577">
              <w:rPr>
                <w:rFonts w:ascii="Arial" w:hAnsi="Arial" w:cs="Arial"/>
              </w:rPr>
              <w:t>, commence</w:t>
            </w:r>
            <w:r w:rsidRPr="009D6577">
              <w:rPr>
                <w:rFonts w:ascii="Arial" w:hAnsi="Arial" w:cs="Arial"/>
              </w:rPr>
              <w:t>ment</w:t>
            </w:r>
            <w:r w:rsidR="000B6D47" w:rsidRPr="009D6577">
              <w:rPr>
                <w:rFonts w:ascii="Arial" w:hAnsi="Arial" w:cs="Arial"/>
              </w:rPr>
              <w:t xml:space="preserve"> or settle</w:t>
            </w:r>
            <w:r w:rsidRPr="009D6577">
              <w:rPr>
                <w:rFonts w:ascii="Arial" w:hAnsi="Arial" w:cs="Arial"/>
              </w:rPr>
              <w:t>ment of</w:t>
            </w:r>
            <w:r w:rsidR="000B6D47" w:rsidRPr="009D6577">
              <w:rPr>
                <w:rFonts w:ascii="Arial" w:hAnsi="Arial" w:cs="Arial"/>
              </w:rPr>
              <w:t xml:space="preserve"> litigation or an alternative dispute resolution mechanism involving above £1.5 million in aggregate or being otherwise material to the interests of the Group.</w:t>
            </w:r>
            <w:bookmarkEnd w:id="0"/>
          </w:p>
        </w:tc>
      </w:tr>
      <w:tr w:rsidR="000B6D47" w:rsidRPr="009D6577" w14:paraId="3BFDFD9A" w14:textId="77777777" w:rsidTr="5C450D93">
        <w:tc>
          <w:tcPr>
            <w:tcW w:w="816" w:type="dxa"/>
          </w:tcPr>
          <w:p w14:paraId="3A199221" w14:textId="4D240485" w:rsidR="000B6D47" w:rsidRPr="009D6577" w:rsidRDefault="000B6D47" w:rsidP="003A4A4F">
            <w:pPr>
              <w:spacing w:after="0" w:line="240" w:lineRule="auto"/>
              <w:rPr>
                <w:rFonts w:ascii="Arial" w:hAnsi="Arial" w:cs="Arial"/>
              </w:rPr>
            </w:pPr>
            <w:r w:rsidRPr="34100F9C">
              <w:rPr>
                <w:rFonts w:ascii="Arial" w:hAnsi="Arial" w:cs="Arial"/>
              </w:rPr>
              <w:t>1</w:t>
            </w:r>
            <w:r w:rsidR="071D75FD" w:rsidRPr="34100F9C">
              <w:rPr>
                <w:rFonts w:ascii="Arial" w:hAnsi="Arial" w:cs="Arial"/>
              </w:rPr>
              <w:t>5</w:t>
            </w:r>
            <w:r w:rsidRPr="34100F9C">
              <w:rPr>
                <w:rFonts w:ascii="Arial" w:hAnsi="Arial" w:cs="Arial"/>
              </w:rPr>
              <w:t>.</w:t>
            </w:r>
            <w:r w:rsidR="00D76A1D">
              <w:rPr>
                <w:rFonts w:ascii="Arial" w:hAnsi="Arial" w:cs="Arial"/>
              </w:rPr>
              <w:t>4</w:t>
            </w:r>
          </w:p>
        </w:tc>
        <w:tc>
          <w:tcPr>
            <w:tcW w:w="8506" w:type="dxa"/>
          </w:tcPr>
          <w:p w14:paraId="44A100E4" w14:textId="6F578447" w:rsidR="000B6D47" w:rsidRPr="009D6577" w:rsidRDefault="00C06AA4" w:rsidP="00CF2470">
            <w:pPr>
              <w:spacing w:after="0" w:line="240" w:lineRule="auto"/>
              <w:jc w:val="both"/>
              <w:rPr>
                <w:rFonts w:ascii="Arial" w:hAnsi="Arial" w:cs="Arial"/>
              </w:rPr>
            </w:pPr>
            <w:r w:rsidRPr="009D6577">
              <w:rPr>
                <w:rFonts w:ascii="Arial" w:hAnsi="Arial" w:cs="Arial"/>
              </w:rPr>
              <w:t>O</w:t>
            </w:r>
            <w:r w:rsidR="000B6D47" w:rsidRPr="009D6577">
              <w:rPr>
                <w:rFonts w:ascii="Arial" w:hAnsi="Arial" w:cs="Arial"/>
              </w:rPr>
              <w:t xml:space="preserve">verall levels of insurance for the Group and indemnification of </w:t>
            </w:r>
            <w:r w:rsidR="004E5E86">
              <w:rPr>
                <w:rFonts w:ascii="Arial" w:hAnsi="Arial" w:cs="Arial"/>
              </w:rPr>
              <w:t>D</w:t>
            </w:r>
            <w:r w:rsidR="000B6D47" w:rsidRPr="009D6577">
              <w:rPr>
                <w:rFonts w:ascii="Arial" w:hAnsi="Arial" w:cs="Arial"/>
              </w:rPr>
              <w:t>irectors</w:t>
            </w:r>
            <w:r w:rsidR="5B70EAB3" w:rsidRPr="23EA0AA7">
              <w:rPr>
                <w:rFonts w:ascii="Arial" w:hAnsi="Arial" w:cs="Arial"/>
              </w:rPr>
              <w:t xml:space="preserve"> </w:t>
            </w:r>
            <w:r w:rsidR="5B70EAB3" w:rsidRPr="60A423E8">
              <w:rPr>
                <w:rFonts w:ascii="Arial" w:hAnsi="Arial" w:cs="Arial"/>
              </w:rPr>
              <w:t xml:space="preserve">following </w:t>
            </w:r>
            <w:r w:rsidR="00C00AEB" w:rsidRPr="09CD1546">
              <w:rPr>
                <w:rFonts w:ascii="Arial" w:hAnsi="Arial" w:cs="Arial"/>
              </w:rPr>
              <w:t xml:space="preserve">recommendation </w:t>
            </w:r>
            <w:r w:rsidR="0391CAF1" w:rsidRPr="1E43222B">
              <w:rPr>
                <w:rFonts w:ascii="Arial" w:hAnsi="Arial" w:cs="Arial"/>
              </w:rPr>
              <w:t>from the Board</w:t>
            </w:r>
            <w:r w:rsidR="0391CAF1" w:rsidRPr="4D9497B5">
              <w:rPr>
                <w:rFonts w:ascii="Arial" w:hAnsi="Arial" w:cs="Arial"/>
              </w:rPr>
              <w:t xml:space="preserve"> Risk </w:t>
            </w:r>
            <w:r w:rsidR="0391CAF1" w:rsidRPr="7DBE7329">
              <w:rPr>
                <w:rFonts w:ascii="Arial" w:hAnsi="Arial" w:cs="Arial"/>
              </w:rPr>
              <w:t>Committee.</w:t>
            </w:r>
          </w:p>
        </w:tc>
      </w:tr>
      <w:tr w:rsidR="000B6D47" w:rsidRPr="009D6577" w14:paraId="1BE93977" w14:textId="77777777" w:rsidTr="5C450D93">
        <w:tc>
          <w:tcPr>
            <w:tcW w:w="816" w:type="dxa"/>
          </w:tcPr>
          <w:p w14:paraId="3D43DF14" w14:textId="2DC91E07" w:rsidR="000B6D47" w:rsidRPr="009D6577" w:rsidRDefault="000B6D47" w:rsidP="003A4A4F">
            <w:pPr>
              <w:spacing w:after="0" w:line="240" w:lineRule="auto"/>
              <w:rPr>
                <w:rFonts w:ascii="Arial" w:hAnsi="Arial" w:cs="Arial"/>
              </w:rPr>
            </w:pPr>
            <w:r w:rsidRPr="34100F9C">
              <w:rPr>
                <w:rFonts w:ascii="Arial" w:hAnsi="Arial" w:cs="Arial"/>
              </w:rPr>
              <w:t>1</w:t>
            </w:r>
            <w:r w:rsidR="236B9123" w:rsidRPr="34100F9C">
              <w:rPr>
                <w:rFonts w:ascii="Arial" w:hAnsi="Arial" w:cs="Arial"/>
              </w:rPr>
              <w:t>5</w:t>
            </w:r>
            <w:r w:rsidRPr="34100F9C">
              <w:rPr>
                <w:rFonts w:ascii="Arial" w:hAnsi="Arial" w:cs="Arial"/>
              </w:rPr>
              <w:t>.</w:t>
            </w:r>
            <w:r w:rsidR="00D76A1D">
              <w:rPr>
                <w:rFonts w:ascii="Arial" w:hAnsi="Arial" w:cs="Arial"/>
              </w:rPr>
              <w:t>5</w:t>
            </w:r>
          </w:p>
        </w:tc>
        <w:tc>
          <w:tcPr>
            <w:tcW w:w="8506" w:type="dxa"/>
          </w:tcPr>
          <w:p w14:paraId="7956D9B4" w14:textId="77777777" w:rsidR="000B6D47" w:rsidRPr="009D6577" w:rsidRDefault="000B6D47" w:rsidP="00CF2470">
            <w:pPr>
              <w:spacing w:after="0" w:line="240" w:lineRule="auto"/>
              <w:jc w:val="both"/>
              <w:rPr>
                <w:rFonts w:ascii="Arial" w:hAnsi="Arial" w:cs="Arial"/>
              </w:rPr>
            </w:pPr>
            <w:r w:rsidRPr="009D6577">
              <w:rPr>
                <w:rFonts w:ascii="Arial" w:hAnsi="Arial" w:cs="Arial"/>
              </w:rPr>
              <w:t xml:space="preserve">Approval </w:t>
            </w:r>
            <w:r w:rsidR="005944B3" w:rsidRPr="009D6577">
              <w:rPr>
                <w:rFonts w:ascii="Arial" w:hAnsi="Arial" w:cs="Arial"/>
              </w:rPr>
              <w:t xml:space="preserve">by </w:t>
            </w:r>
            <w:r w:rsidR="004E5E86">
              <w:rPr>
                <w:rFonts w:ascii="Arial" w:hAnsi="Arial" w:cs="Arial"/>
              </w:rPr>
              <w:t>D</w:t>
            </w:r>
            <w:r w:rsidR="005944B3" w:rsidRPr="009D6577">
              <w:rPr>
                <w:rFonts w:ascii="Arial" w:hAnsi="Arial" w:cs="Arial"/>
              </w:rPr>
              <w:t xml:space="preserve">irectors </w:t>
            </w:r>
            <w:r w:rsidRPr="009D6577">
              <w:rPr>
                <w:rFonts w:ascii="Arial" w:hAnsi="Arial" w:cs="Arial"/>
              </w:rPr>
              <w:t>of any transaction with a related party of the Company or any Company in the Group.</w:t>
            </w:r>
          </w:p>
        </w:tc>
      </w:tr>
      <w:tr w:rsidR="00C06AA4" w:rsidRPr="009D6577" w14:paraId="0B686015" w14:textId="77777777" w:rsidTr="5C450D93">
        <w:tc>
          <w:tcPr>
            <w:tcW w:w="816" w:type="dxa"/>
          </w:tcPr>
          <w:p w14:paraId="14E35E97" w14:textId="6FD69F64" w:rsidR="00C06AA4" w:rsidRPr="009D6577" w:rsidRDefault="00C06AA4" w:rsidP="00C06AA4">
            <w:pPr>
              <w:spacing w:after="0" w:line="240" w:lineRule="auto"/>
              <w:rPr>
                <w:rFonts w:ascii="Arial" w:hAnsi="Arial" w:cs="Arial"/>
              </w:rPr>
            </w:pPr>
            <w:r w:rsidRPr="34100F9C">
              <w:rPr>
                <w:rFonts w:ascii="Arial" w:hAnsi="Arial" w:cs="Arial"/>
              </w:rPr>
              <w:t>1</w:t>
            </w:r>
            <w:r w:rsidR="641A41CB" w:rsidRPr="34100F9C">
              <w:rPr>
                <w:rFonts w:ascii="Arial" w:hAnsi="Arial" w:cs="Arial"/>
              </w:rPr>
              <w:t>5</w:t>
            </w:r>
            <w:r w:rsidRPr="34100F9C">
              <w:rPr>
                <w:rFonts w:ascii="Arial" w:hAnsi="Arial" w:cs="Arial"/>
              </w:rPr>
              <w:t>.</w:t>
            </w:r>
            <w:r w:rsidR="00D76A1D">
              <w:rPr>
                <w:rFonts w:ascii="Arial" w:hAnsi="Arial" w:cs="Arial"/>
              </w:rPr>
              <w:t>6</w:t>
            </w:r>
          </w:p>
        </w:tc>
        <w:tc>
          <w:tcPr>
            <w:tcW w:w="8506" w:type="dxa"/>
          </w:tcPr>
          <w:p w14:paraId="0B2EF052" w14:textId="17ADBE30" w:rsidR="00C06AA4" w:rsidRPr="009D6577" w:rsidRDefault="48679233" w:rsidP="00CF2470">
            <w:pPr>
              <w:spacing w:after="0" w:line="240" w:lineRule="auto"/>
              <w:jc w:val="both"/>
              <w:rPr>
                <w:rFonts w:ascii="Arial" w:hAnsi="Arial" w:cs="Arial"/>
              </w:rPr>
            </w:pPr>
            <w:r w:rsidRPr="6C44D83A">
              <w:rPr>
                <w:rFonts w:ascii="Arial" w:hAnsi="Arial" w:cs="Arial"/>
              </w:rPr>
              <w:t>Consider and as appropriate authorise conflicts of interest (actual or potential) where required and permitted by the Articles of Association and the Companies Act 2006.</w:t>
            </w:r>
          </w:p>
        </w:tc>
      </w:tr>
      <w:tr w:rsidR="00712A86" w:rsidRPr="009D6577" w14:paraId="49797F93" w14:textId="77777777" w:rsidTr="5C450D93">
        <w:tc>
          <w:tcPr>
            <w:tcW w:w="816" w:type="dxa"/>
          </w:tcPr>
          <w:p w14:paraId="4057127E" w14:textId="6903A152" w:rsidR="00712A86" w:rsidRPr="009D6577" w:rsidRDefault="00712A86" w:rsidP="00C06AA4">
            <w:pPr>
              <w:spacing w:after="0" w:line="240" w:lineRule="auto"/>
              <w:rPr>
                <w:rFonts w:ascii="Arial" w:hAnsi="Arial" w:cs="Arial"/>
              </w:rPr>
            </w:pPr>
            <w:r w:rsidRPr="34100F9C">
              <w:rPr>
                <w:rFonts w:ascii="Arial" w:hAnsi="Arial" w:cs="Arial"/>
              </w:rPr>
              <w:t>1</w:t>
            </w:r>
            <w:r w:rsidR="6228DA00" w:rsidRPr="34100F9C">
              <w:rPr>
                <w:rFonts w:ascii="Arial" w:hAnsi="Arial" w:cs="Arial"/>
              </w:rPr>
              <w:t>5</w:t>
            </w:r>
            <w:r w:rsidRPr="34100F9C">
              <w:rPr>
                <w:rFonts w:ascii="Arial" w:hAnsi="Arial" w:cs="Arial"/>
              </w:rPr>
              <w:t>.</w:t>
            </w:r>
            <w:r w:rsidR="00D76A1D">
              <w:rPr>
                <w:rFonts w:ascii="Arial" w:hAnsi="Arial" w:cs="Arial"/>
              </w:rPr>
              <w:t>7</w:t>
            </w:r>
          </w:p>
        </w:tc>
        <w:tc>
          <w:tcPr>
            <w:tcW w:w="8506" w:type="dxa"/>
          </w:tcPr>
          <w:p w14:paraId="7873839B" w14:textId="77777777" w:rsidR="00712A86" w:rsidRPr="009D6577" w:rsidRDefault="00712A86" w:rsidP="00CF2470">
            <w:pPr>
              <w:spacing w:after="0" w:line="240" w:lineRule="auto"/>
              <w:jc w:val="both"/>
              <w:rPr>
                <w:rFonts w:ascii="Arial" w:hAnsi="Arial" w:cs="Arial"/>
              </w:rPr>
            </w:pPr>
            <w:r w:rsidRPr="009D6577">
              <w:rPr>
                <w:rFonts w:ascii="Arial" w:hAnsi="Arial" w:cs="Arial"/>
              </w:rPr>
              <w:t xml:space="preserve">This </w:t>
            </w:r>
            <w:r w:rsidR="004D06FC" w:rsidRPr="009D6577">
              <w:rPr>
                <w:rFonts w:ascii="Arial" w:hAnsi="Arial" w:cs="Arial"/>
              </w:rPr>
              <w:t>S</w:t>
            </w:r>
            <w:r w:rsidRPr="009D6577">
              <w:rPr>
                <w:rFonts w:ascii="Arial" w:hAnsi="Arial" w:cs="Arial"/>
              </w:rPr>
              <w:t xml:space="preserve">chedule of </w:t>
            </w:r>
            <w:r w:rsidR="004D06FC" w:rsidRPr="009D6577">
              <w:rPr>
                <w:rFonts w:ascii="Arial" w:hAnsi="Arial" w:cs="Arial"/>
              </w:rPr>
              <w:t>M</w:t>
            </w:r>
            <w:r w:rsidRPr="009D6577">
              <w:rPr>
                <w:rFonts w:ascii="Arial" w:hAnsi="Arial" w:cs="Arial"/>
              </w:rPr>
              <w:t xml:space="preserve">atters </w:t>
            </w:r>
            <w:r w:rsidR="004D06FC" w:rsidRPr="009D6577">
              <w:rPr>
                <w:rFonts w:ascii="Arial" w:hAnsi="Arial" w:cs="Arial"/>
              </w:rPr>
              <w:t>R</w:t>
            </w:r>
            <w:r w:rsidR="00DA2E65" w:rsidRPr="009D6577">
              <w:rPr>
                <w:rFonts w:ascii="Arial" w:hAnsi="Arial" w:cs="Arial"/>
              </w:rPr>
              <w:t>e</w:t>
            </w:r>
            <w:r w:rsidRPr="009D6577">
              <w:rPr>
                <w:rFonts w:ascii="Arial" w:hAnsi="Arial" w:cs="Arial"/>
              </w:rPr>
              <w:t>served to the Board.</w:t>
            </w:r>
          </w:p>
        </w:tc>
      </w:tr>
    </w:tbl>
    <w:p w14:paraId="58B1299E" w14:textId="76689577" w:rsidR="00871008" w:rsidRPr="0030117C" w:rsidRDefault="00871008" w:rsidP="003905AD">
      <w:pPr>
        <w:rPr>
          <w:rFonts w:ascii="Arial" w:hAnsi="Arial" w:cs="Arial"/>
          <w:bCs/>
        </w:rPr>
      </w:pPr>
    </w:p>
    <w:sectPr w:rsidR="00871008" w:rsidRPr="0030117C" w:rsidSect="003F7B20">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CD1F" w14:textId="77777777" w:rsidR="001A1FC4" w:rsidRDefault="001A1FC4" w:rsidP="008A0A63">
      <w:pPr>
        <w:spacing w:after="0" w:line="240" w:lineRule="auto"/>
      </w:pPr>
      <w:r>
        <w:separator/>
      </w:r>
    </w:p>
  </w:endnote>
  <w:endnote w:type="continuationSeparator" w:id="0">
    <w:p w14:paraId="68259C31" w14:textId="77777777" w:rsidR="001A1FC4" w:rsidRDefault="001A1FC4" w:rsidP="008A0A63">
      <w:pPr>
        <w:spacing w:after="0" w:line="240" w:lineRule="auto"/>
      </w:pPr>
      <w:r>
        <w:continuationSeparator/>
      </w:r>
    </w:p>
  </w:endnote>
  <w:endnote w:type="continuationNotice" w:id="1">
    <w:p w14:paraId="6445AB42" w14:textId="77777777" w:rsidR="001A1FC4" w:rsidRDefault="001A1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813B" w14:textId="77777777" w:rsidR="00F95B2A" w:rsidRDefault="00F95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4213" w14:textId="71CDDB6A" w:rsidR="00265F00" w:rsidRDefault="00FB75EF">
    <w:pPr>
      <w:pStyle w:val="Footer"/>
    </w:pPr>
    <w:r>
      <w:rPr>
        <w:color w:val="2B579A"/>
        <w:shd w:val="clear" w:color="auto" w:fill="E6E6E6"/>
      </w:rPr>
      <mc:AlternateContent>
        <mc:Choice Requires="wps">
          <w:drawing>
            <wp:anchor distT="0" distB="0" distL="114300" distR="114300" simplePos="0" relativeHeight="251658240" behindDoc="0" locked="0" layoutInCell="0" allowOverlap="1" wp14:anchorId="2EB1BB67" wp14:editId="07777777">
              <wp:simplePos x="0" y="0"/>
              <wp:positionH relativeFrom="page">
                <wp:posOffset>0</wp:posOffset>
              </wp:positionH>
              <wp:positionV relativeFrom="page">
                <wp:posOffset>10227945</wp:posOffset>
              </wp:positionV>
              <wp:extent cx="7560310" cy="273685"/>
              <wp:effectExtent l="0" t="0" r="2540" b="4445"/>
              <wp:wrapNone/>
              <wp:docPr id="3" name="Text Box 3" descr="{&quot;HashCode&quot;:-298827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F396" w14:textId="77777777" w:rsidR="00265F00" w:rsidRPr="00265F00" w:rsidRDefault="00265F00" w:rsidP="00265F00">
                          <w:pPr>
                            <w:spacing w:after="0"/>
                            <w:jc w:val="center"/>
                            <w:rPr>
                              <w:rFonts w:cs="Calibri"/>
                              <w:color w:val="000000"/>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1BB67" id="_x0000_t202" coordsize="21600,21600" o:spt="202" path="m,l,21600r21600,l21600,xe">
              <v:stroke joinstyle="miter"/>
              <v:path gradientshapeok="t" o:connecttype="rect"/>
            </v:shapetype>
            <v:shape id="Text Box 3" o:spid="_x0000_s1026" type="#_x0000_t202" alt="{&quot;HashCode&quot;:-29882735,&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41C8F396" w14:textId="77777777" w:rsidR="00265F00" w:rsidRPr="00265F00" w:rsidRDefault="00265F00" w:rsidP="00265F00">
                    <w:pPr>
                      <w:spacing w:after="0"/>
                      <w:jc w:val="center"/>
                      <w:rPr>
                        <w:rFonts w:cs="Calibri"/>
                        <w:color w:val="000000"/>
                        <w:sz w:val="16"/>
                      </w:rPr>
                    </w:pPr>
                  </w:p>
                </w:txbxContent>
              </v:textbox>
              <w10:wrap anchorx="page" anchory="page"/>
            </v:shape>
          </w:pict>
        </mc:Fallback>
      </mc:AlternateContent>
    </w:r>
    <w:r w:rsidR="00F82987">
      <w:t>Approved: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137B" w14:textId="77777777" w:rsidR="00265F00" w:rsidRDefault="00FB75EF">
    <w:pPr>
      <w:pStyle w:val="Footer"/>
    </w:pPr>
    <w:r>
      <w:rPr>
        <w:color w:val="2B579A"/>
        <w:shd w:val="clear" w:color="auto" w:fill="E6E6E6"/>
      </w:rPr>
      <mc:AlternateContent>
        <mc:Choice Requires="wps">
          <w:drawing>
            <wp:anchor distT="0" distB="0" distL="114300" distR="114300" simplePos="0" relativeHeight="251658241" behindDoc="0" locked="0" layoutInCell="0" allowOverlap="1" wp14:anchorId="322D4101" wp14:editId="07777777">
              <wp:simplePos x="0" y="0"/>
              <wp:positionH relativeFrom="page">
                <wp:posOffset>0</wp:posOffset>
              </wp:positionH>
              <wp:positionV relativeFrom="page">
                <wp:posOffset>10227945</wp:posOffset>
              </wp:positionV>
              <wp:extent cx="7560310" cy="273685"/>
              <wp:effectExtent l="0" t="0" r="2540" b="4445"/>
              <wp:wrapNone/>
              <wp:docPr id="1" name="Text Box 1" descr="{&quot;HashCode&quot;:-29882735,&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1E4C" w14:textId="77777777" w:rsidR="00265F00" w:rsidRPr="00265F00" w:rsidRDefault="00265F00" w:rsidP="00265F00">
                          <w:pPr>
                            <w:spacing w:after="0"/>
                            <w:jc w:val="center"/>
                            <w:rPr>
                              <w:rFonts w:cs="Calibri"/>
                              <w:color w:val="000000"/>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D4101" id="_x0000_t202" coordsize="21600,21600" o:spt="202" path="m,l,21600r21600,l21600,xe">
              <v:stroke joinstyle="miter"/>
              <v:path gradientshapeok="t" o:connecttype="rect"/>
            </v:shapetype>
            <v:shape id="Text Box 1" o:spid="_x0000_s1027" type="#_x0000_t202" alt="{&quot;HashCode&quot;:-29882735,&quot;Height&quot;:841.0,&quot;Width&quot;:595.0,&quot;Placement&quot;:&quot;Footer&quot;,&quot;Index&quot;:&quot;FirstPage&quot;,&quot;Section&quot;:1,&quot;Top&quot;:0.0,&quot;Left&quot;:0.0}" style="position:absolute;margin-left:0;margin-top:805.35pt;width:595.3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60061E4C" w14:textId="77777777" w:rsidR="00265F00" w:rsidRPr="00265F00" w:rsidRDefault="00265F00" w:rsidP="00265F00">
                    <w:pPr>
                      <w:spacing w:after="0"/>
                      <w:jc w:val="cente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C80" w14:textId="77777777" w:rsidR="001A1FC4" w:rsidRDefault="001A1FC4" w:rsidP="008A0A63">
      <w:pPr>
        <w:spacing w:after="0" w:line="240" w:lineRule="auto"/>
      </w:pPr>
      <w:r>
        <w:separator/>
      </w:r>
    </w:p>
  </w:footnote>
  <w:footnote w:type="continuationSeparator" w:id="0">
    <w:p w14:paraId="16C3A789" w14:textId="77777777" w:rsidR="001A1FC4" w:rsidRDefault="001A1FC4" w:rsidP="008A0A63">
      <w:pPr>
        <w:spacing w:after="0" w:line="240" w:lineRule="auto"/>
      </w:pPr>
      <w:r>
        <w:continuationSeparator/>
      </w:r>
    </w:p>
  </w:footnote>
  <w:footnote w:type="continuationNotice" w:id="1">
    <w:p w14:paraId="53F2C118" w14:textId="77777777" w:rsidR="001A1FC4" w:rsidRDefault="001A1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6850" w14:textId="77777777" w:rsidR="00F95B2A" w:rsidRDefault="00F95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4AC9" w14:textId="77777777" w:rsidR="00F95B2A" w:rsidRDefault="00F95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83C3" w14:textId="77777777" w:rsidR="00A428AA" w:rsidRDefault="00FB75EF" w:rsidP="00A428AA">
    <w:pPr>
      <w:pStyle w:val="Header"/>
      <w:jc w:val="right"/>
    </w:pPr>
    <w:r>
      <w:rPr>
        <w:color w:val="2B579A"/>
        <w:shd w:val="clear" w:color="auto" w:fill="E6E6E6"/>
      </w:rPr>
      <w:drawing>
        <wp:anchor distT="0" distB="0" distL="114300" distR="114300" simplePos="0" relativeHeight="251658242" behindDoc="0" locked="0" layoutInCell="1" allowOverlap="1" wp14:anchorId="72D6D2E8" wp14:editId="07777777">
          <wp:simplePos x="0" y="0"/>
          <wp:positionH relativeFrom="column">
            <wp:posOffset>-442595</wp:posOffset>
          </wp:positionH>
          <wp:positionV relativeFrom="paragraph">
            <wp:posOffset>-185420</wp:posOffset>
          </wp:positionV>
          <wp:extent cx="2049780"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l="8832" t="20128" r="8289" b="7030"/>
                  <a:stretch>
                    <a:fillRect/>
                  </a:stretch>
                </pic:blipFill>
                <pic:spPr bwMode="auto">
                  <a:xfrm>
                    <a:off x="0" y="0"/>
                    <a:ext cx="204978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48E"/>
    <w:multiLevelType w:val="hybridMultilevel"/>
    <w:tmpl w:val="DEDC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B7AA7"/>
    <w:multiLevelType w:val="hybridMultilevel"/>
    <w:tmpl w:val="5AC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10D1"/>
    <w:multiLevelType w:val="hybridMultilevel"/>
    <w:tmpl w:val="CF3C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B3477"/>
    <w:multiLevelType w:val="hybridMultilevel"/>
    <w:tmpl w:val="E6F8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E66DA"/>
    <w:multiLevelType w:val="hybridMultilevel"/>
    <w:tmpl w:val="2D3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033AA"/>
    <w:multiLevelType w:val="hybridMultilevel"/>
    <w:tmpl w:val="A4BA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6255D"/>
    <w:multiLevelType w:val="multilevel"/>
    <w:tmpl w:val="127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66CD3"/>
    <w:multiLevelType w:val="hybridMultilevel"/>
    <w:tmpl w:val="4234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343244">
    <w:abstractNumId w:val="3"/>
  </w:num>
  <w:num w:numId="2" w16cid:durableId="824392351">
    <w:abstractNumId w:val="4"/>
  </w:num>
  <w:num w:numId="3" w16cid:durableId="621151588">
    <w:abstractNumId w:val="0"/>
  </w:num>
  <w:num w:numId="4" w16cid:durableId="1847138057">
    <w:abstractNumId w:val="2"/>
  </w:num>
  <w:num w:numId="5" w16cid:durableId="1775245047">
    <w:abstractNumId w:val="1"/>
  </w:num>
  <w:num w:numId="6" w16cid:durableId="941181838">
    <w:abstractNumId w:val="5"/>
  </w:num>
  <w:num w:numId="7" w16cid:durableId="1261794589">
    <w:abstractNumId w:val="6"/>
  </w:num>
  <w:num w:numId="8" w16cid:durableId="41320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ED"/>
    <w:rsid w:val="000063C7"/>
    <w:rsid w:val="000143A7"/>
    <w:rsid w:val="000155C5"/>
    <w:rsid w:val="000174CD"/>
    <w:rsid w:val="00017731"/>
    <w:rsid w:val="000254FA"/>
    <w:rsid w:val="00025EE6"/>
    <w:rsid w:val="0003290D"/>
    <w:rsid w:val="000352DC"/>
    <w:rsid w:val="00036321"/>
    <w:rsid w:val="000410BC"/>
    <w:rsid w:val="00042E3B"/>
    <w:rsid w:val="00052455"/>
    <w:rsid w:val="00052BFA"/>
    <w:rsid w:val="0006252C"/>
    <w:rsid w:val="0006533B"/>
    <w:rsid w:val="0006657F"/>
    <w:rsid w:val="000701E1"/>
    <w:rsid w:val="00072631"/>
    <w:rsid w:val="00077E89"/>
    <w:rsid w:val="00087386"/>
    <w:rsid w:val="00092259"/>
    <w:rsid w:val="00095C1D"/>
    <w:rsid w:val="000A57F0"/>
    <w:rsid w:val="000A7F63"/>
    <w:rsid w:val="000B6D47"/>
    <w:rsid w:val="000D751D"/>
    <w:rsid w:val="000D76CB"/>
    <w:rsid w:val="000E5DBB"/>
    <w:rsid w:val="000F15B3"/>
    <w:rsid w:val="000F48F5"/>
    <w:rsid w:val="000F54FD"/>
    <w:rsid w:val="001056F5"/>
    <w:rsid w:val="001241B9"/>
    <w:rsid w:val="001266C7"/>
    <w:rsid w:val="00140F6D"/>
    <w:rsid w:val="00141A9B"/>
    <w:rsid w:val="00142B3F"/>
    <w:rsid w:val="001431E3"/>
    <w:rsid w:val="00147E5D"/>
    <w:rsid w:val="00156541"/>
    <w:rsid w:val="00161527"/>
    <w:rsid w:val="001663A6"/>
    <w:rsid w:val="0016642B"/>
    <w:rsid w:val="00167FDB"/>
    <w:rsid w:val="00177DC2"/>
    <w:rsid w:val="00180F97"/>
    <w:rsid w:val="00182EDD"/>
    <w:rsid w:val="00191947"/>
    <w:rsid w:val="00192E63"/>
    <w:rsid w:val="00193D6E"/>
    <w:rsid w:val="001A1FC4"/>
    <w:rsid w:val="001A2DAD"/>
    <w:rsid w:val="001B7C7B"/>
    <w:rsid w:val="001E13F4"/>
    <w:rsid w:val="001E4DB7"/>
    <w:rsid w:val="001F1045"/>
    <w:rsid w:val="001F5799"/>
    <w:rsid w:val="001F7827"/>
    <w:rsid w:val="001F7D17"/>
    <w:rsid w:val="00206A91"/>
    <w:rsid w:val="00215CC4"/>
    <w:rsid w:val="00225432"/>
    <w:rsid w:val="00227EEF"/>
    <w:rsid w:val="00232BB1"/>
    <w:rsid w:val="00245396"/>
    <w:rsid w:val="00255DC6"/>
    <w:rsid w:val="002630A9"/>
    <w:rsid w:val="00265F00"/>
    <w:rsid w:val="002674B3"/>
    <w:rsid w:val="00272109"/>
    <w:rsid w:val="00272B46"/>
    <w:rsid w:val="00274971"/>
    <w:rsid w:val="002819FF"/>
    <w:rsid w:val="00285670"/>
    <w:rsid w:val="00286275"/>
    <w:rsid w:val="00291325"/>
    <w:rsid w:val="00291C23"/>
    <w:rsid w:val="00295F29"/>
    <w:rsid w:val="002A42E6"/>
    <w:rsid w:val="002B13C1"/>
    <w:rsid w:val="002C1D57"/>
    <w:rsid w:val="002C39B1"/>
    <w:rsid w:val="002E266D"/>
    <w:rsid w:val="002E7467"/>
    <w:rsid w:val="002F0D7B"/>
    <w:rsid w:val="002F24B8"/>
    <w:rsid w:val="002F29D0"/>
    <w:rsid w:val="002F2E08"/>
    <w:rsid w:val="003008FA"/>
    <w:rsid w:val="0030117C"/>
    <w:rsid w:val="0030131F"/>
    <w:rsid w:val="003146EB"/>
    <w:rsid w:val="00315977"/>
    <w:rsid w:val="00315AFD"/>
    <w:rsid w:val="003231DE"/>
    <w:rsid w:val="00336788"/>
    <w:rsid w:val="00345C87"/>
    <w:rsid w:val="00352049"/>
    <w:rsid w:val="0035709C"/>
    <w:rsid w:val="00358ABB"/>
    <w:rsid w:val="00362AD2"/>
    <w:rsid w:val="003755EA"/>
    <w:rsid w:val="00376B15"/>
    <w:rsid w:val="00381A4D"/>
    <w:rsid w:val="00387E48"/>
    <w:rsid w:val="003905AD"/>
    <w:rsid w:val="0039649E"/>
    <w:rsid w:val="003A001C"/>
    <w:rsid w:val="003A4068"/>
    <w:rsid w:val="003A4A4F"/>
    <w:rsid w:val="003A5605"/>
    <w:rsid w:val="003B4275"/>
    <w:rsid w:val="003B4841"/>
    <w:rsid w:val="003C0BDE"/>
    <w:rsid w:val="003D6F09"/>
    <w:rsid w:val="003E5AE3"/>
    <w:rsid w:val="003F0D19"/>
    <w:rsid w:val="003F7B20"/>
    <w:rsid w:val="0040432C"/>
    <w:rsid w:val="00407037"/>
    <w:rsid w:val="004351E3"/>
    <w:rsid w:val="00435DC1"/>
    <w:rsid w:val="004377E6"/>
    <w:rsid w:val="00440EA4"/>
    <w:rsid w:val="00451263"/>
    <w:rsid w:val="00461F14"/>
    <w:rsid w:val="00462728"/>
    <w:rsid w:val="004637FF"/>
    <w:rsid w:val="00472CDE"/>
    <w:rsid w:val="0048273B"/>
    <w:rsid w:val="00483A2A"/>
    <w:rsid w:val="004922A2"/>
    <w:rsid w:val="00492465"/>
    <w:rsid w:val="0049735D"/>
    <w:rsid w:val="004B3004"/>
    <w:rsid w:val="004B7E85"/>
    <w:rsid w:val="004C30FD"/>
    <w:rsid w:val="004D06FC"/>
    <w:rsid w:val="004D5690"/>
    <w:rsid w:val="004E5E86"/>
    <w:rsid w:val="004F32B7"/>
    <w:rsid w:val="00505864"/>
    <w:rsid w:val="00505874"/>
    <w:rsid w:val="00510D97"/>
    <w:rsid w:val="0051427A"/>
    <w:rsid w:val="00524F63"/>
    <w:rsid w:val="00533407"/>
    <w:rsid w:val="00540FCE"/>
    <w:rsid w:val="00543ED2"/>
    <w:rsid w:val="00545929"/>
    <w:rsid w:val="00546645"/>
    <w:rsid w:val="00551811"/>
    <w:rsid w:val="00551CE1"/>
    <w:rsid w:val="00573037"/>
    <w:rsid w:val="00573D74"/>
    <w:rsid w:val="005740AF"/>
    <w:rsid w:val="00590825"/>
    <w:rsid w:val="005944B3"/>
    <w:rsid w:val="005969A6"/>
    <w:rsid w:val="005B2DAD"/>
    <w:rsid w:val="005B59EB"/>
    <w:rsid w:val="005C5E9E"/>
    <w:rsid w:val="005D038E"/>
    <w:rsid w:val="005D179F"/>
    <w:rsid w:val="005D3D70"/>
    <w:rsid w:val="005D740F"/>
    <w:rsid w:val="005E0383"/>
    <w:rsid w:val="005E04B8"/>
    <w:rsid w:val="005E3933"/>
    <w:rsid w:val="005E3A6C"/>
    <w:rsid w:val="005F0DB2"/>
    <w:rsid w:val="005F74AD"/>
    <w:rsid w:val="005FE61A"/>
    <w:rsid w:val="0060013F"/>
    <w:rsid w:val="00610943"/>
    <w:rsid w:val="00614D82"/>
    <w:rsid w:val="0062253D"/>
    <w:rsid w:val="006412E2"/>
    <w:rsid w:val="006445FE"/>
    <w:rsid w:val="00647C89"/>
    <w:rsid w:val="0065045C"/>
    <w:rsid w:val="0065493D"/>
    <w:rsid w:val="00656AE1"/>
    <w:rsid w:val="00660B70"/>
    <w:rsid w:val="006612C4"/>
    <w:rsid w:val="0066354A"/>
    <w:rsid w:val="006716CF"/>
    <w:rsid w:val="00673CD8"/>
    <w:rsid w:val="006806E0"/>
    <w:rsid w:val="006807D8"/>
    <w:rsid w:val="00687AD8"/>
    <w:rsid w:val="006927ED"/>
    <w:rsid w:val="006976AC"/>
    <w:rsid w:val="006A076E"/>
    <w:rsid w:val="006A66DA"/>
    <w:rsid w:val="006B0C5D"/>
    <w:rsid w:val="006B55F9"/>
    <w:rsid w:val="006B7F89"/>
    <w:rsid w:val="006C0B99"/>
    <w:rsid w:val="006C0CF1"/>
    <w:rsid w:val="006C4130"/>
    <w:rsid w:val="006D2FBB"/>
    <w:rsid w:val="00712A86"/>
    <w:rsid w:val="007137F6"/>
    <w:rsid w:val="0073524F"/>
    <w:rsid w:val="00746781"/>
    <w:rsid w:val="007475D2"/>
    <w:rsid w:val="007618F9"/>
    <w:rsid w:val="0076531D"/>
    <w:rsid w:val="00791282"/>
    <w:rsid w:val="007A2F51"/>
    <w:rsid w:val="007A30A8"/>
    <w:rsid w:val="007A6151"/>
    <w:rsid w:val="007B28E6"/>
    <w:rsid w:val="007B37BC"/>
    <w:rsid w:val="007C2B17"/>
    <w:rsid w:val="007C68E6"/>
    <w:rsid w:val="007C7DB4"/>
    <w:rsid w:val="007D110C"/>
    <w:rsid w:val="007D6549"/>
    <w:rsid w:val="007D6D16"/>
    <w:rsid w:val="007E1489"/>
    <w:rsid w:val="007E27A7"/>
    <w:rsid w:val="007F21B5"/>
    <w:rsid w:val="00800784"/>
    <w:rsid w:val="00802110"/>
    <w:rsid w:val="0081034E"/>
    <w:rsid w:val="00810F12"/>
    <w:rsid w:val="008138C7"/>
    <w:rsid w:val="00815301"/>
    <w:rsid w:val="0081783F"/>
    <w:rsid w:val="00841DF0"/>
    <w:rsid w:val="00847B83"/>
    <w:rsid w:val="008524FE"/>
    <w:rsid w:val="00860D35"/>
    <w:rsid w:val="00871008"/>
    <w:rsid w:val="008712C5"/>
    <w:rsid w:val="00875D4C"/>
    <w:rsid w:val="00880900"/>
    <w:rsid w:val="00882CEF"/>
    <w:rsid w:val="00886E35"/>
    <w:rsid w:val="0089341E"/>
    <w:rsid w:val="008A022C"/>
    <w:rsid w:val="008A05EF"/>
    <w:rsid w:val="008A0A63"/>
    <w:rsid w:val="008A0B8F"/>
    <w:rsid w:val="008A613A"/>
    <w:rsid w:val="008B057D"/>
    <w:rsid w:val="008B2AAC"/>
    <w:rsid w:val="008C4A29"/>
    <w:rsid w:val="008E2AD1"/>
    <w:rsid w:val="008E52EA"/>
    <w:rsid w:val="008E5FF0"/>
    <w:rsid w:val="008F0E8F"/>
    <w:rsid w:val="008F4C63"/>
    <w:rsid w:val="009001BF"/>
    <w:rsid w:val="00903BD6"/>
    <w:rsid w:val="00906493"/>
    <w:rsid w:val="0091086C"/>
    <w:rsid w:val="00912DD5"/>
    <w:rsid w:val="00915CC6"/>
    <w:rsid w:val="00926E64"/>
    <w:rsid w:val="00940CBC"/>
    <w:rsid w:val="0096033F"/>
    <w:rsid w:val="009604CC"/>
    <w:rsid w:val="00963900"/>
    <w:rsid w:val="009669E8"/>
    <w:rsid w:val="00970DD3"/>
    <w:rsid w:val="009745C0"/>
    <w:rsid w:val="00983D12"/>
    <w:rsid w:val="00992FCD"/>
    <w:rsid w:val="009A2EF1"/>
    <w:rsid w:val="009A3361"/>
    <w:rsid w:val="009C2692"/>
    <w:rsid w:val="009C2A54"/>
    <w:rsid w:val="009C443F"/>
    <w:rsid w:val="009C4AB3"/>
    <w:rsid w:val="009CC600"/>
    <w:rsid w:val="009D0690"/>
    <w:rsid w:val="009D2F35"/>
    <w:rsid w:val="009D36AE"/>
    <w:rsid w:val="009D4CA2"/>
    <w:rsid w:val="009D4D14"/>
    <w:rsid w:val="009D6577"/>
    <w:rsid w:val="009E1287"/>
    <w:rsid w:val="009F1202"/>
    <w:rsid w:val="009F6C87"/>
    <w:rsid w:val="00A1081B"/>
    <w:rsid w:val="00A1181D"/>
    <w:rsid w:val="00A15886"/>
    <w:rsid w:val="00A261B7"/>
    <w:rsid w:val="00A304AB"/>
    <w:rsid w:val="00A30BC2"/>
    <w:rsid w:val="00A31DDA"/>
    <w:rsid w:val="00A37201"/>
    <w:rsid w:val="00A428AA"/>
    <w:rsid w:val="00A62BEF"/>
    <w:rsid w:val="00A67CE4"/>
    <w:rsid w:val="00A729AB"/>
    <w:rsid w:val="00A74CC2"/>
    <w:rsid w:val="00A86359"/>
    <w:rsid w:val="00A91792"/>
    <w:rsid w:val="00A9583E"/>
    <w:rsid w:val="00A97386"/>
    <w:rsid w:val="00AB434E"/>
    <w:rsid w:val="00AC3646"/>
    <w:rsid w:val="00AC5CF3"/>
    <w:rsid w:val="00AC64CD"/>
    <w:rsid w:val="00AD67FC"/>
    <w:rsid w:val="00AE08AA"/>
    <w:rsid w:val="00AE1E6D"/>
    <w:rsid w:val="00AE30E3"/>
    <w:rsid w:val="00AE4D28"/>
    <w:rsid w:val="00AF36BE"/>
    <w:rsid w:val="00AF4962"/>
    <w:rsid w:val="00B0240C"/>
    <w:rsid w:val="00B12666"/>
    <w:rsid w:val="00B27C33"/>
    <w:rsid w:val="00B36425"/>
    <w:rsid w:val="00B3717C"/>
    <w:rsid w:val="00B4039F"/>
    <w:rsid w:val="00B55D95"/>
    <w:rsid w:val="00B572AA"/>
    <w:rsid w:val="00B57B9F"/>
    <w:rsid w:val="00B62E31"/>
    <w:rsid w:val="00B7482B"/>
    <w:rsid w:val="00B829F6"/>
    <w:rsid w:val="00B85E04"/>
    <w:rsid w:val="00B87120"/>
    <w:rsid w:val="00B9261D"/>
    <w:rsid w:val="00BB0263"/>
    <w:rsid w:val="00BB034A"/>
    <w:rsid w:val="00BB4AB2"/>
    <w:rsid w:val="00BC2CC4"/>
    <w:rsid w:val="00BC42CF"/>
    <w:rsid w:val="00BD6BBB"/>
    <w:rsid w:val="00BE111B"/>
    <w:rsid w:val="00BE1A0C"/>
    <w:rsid w:val="00BE3D34"/>
    <w:rsid w:val="00BF4E99"/>
    <w:rsid w:val="00C00AEB"/>
    <w:rsid w:val="00C038DD"/>
    <w:rsid w:val="00C06AA4"/>
    <w:rsid w:val="00C07F45"/>
    <w:rsid w:val="00C27829"/>
    <w:rsid w:val="00C32DB5"/>
    <w:rsid w:val="00C40F17"/>
    <w:rsid w:val="00C611C7"/>
    <w:rsid w:val="00C81F39"/>
    <w:rsid w:val="00C83459"/>
    <w:rsid w:val="00C83C6C"/>
    <w:rsid w:val="00C8582F"/>
    <w:rsid w:val="00C86114"/>
    <w:rsid w:val="00CB2AFF"/>
    <w:rsid w:val="00CC4140"/>
    <w:rsid w:val="00CC5407"/>
    <w:rsid w:val="00CE21E1"/>
    <w:rsid w:val="00CE4F75"/>
    <w:rsid w:val="00CF2411"/>
    <w:rsid w:val="00CF2470"/>
    <w:rsid w:val="00CF78ED"/>
    <w:rsid w:val="00D014AA"/>
    <w:rsid w:val="00D0256E"/>
    <w:rsid w:val="00D03364"/>
    <w:rsid w:val="00D036DE"/>
    <w:rsid w:val="00D04BEC"/>
    <w:rsid w:val="00D051ED"/>
    <w:rsid w:val="00D07D5B"/>
    <w:rsid w:val="00D2019F"/>
    <w:rsid w:val="00D27AA0"/>
    <w:rsid w:val="00D33509"/>
    <w:rsid w:val="00D34749"/>
    <w:rsid w:val="00D45B67"/>
    <w:rsid w:val="00D5172D"/>
    <w:rsid w:val="00D52521"/>
    <w:rsid w:val="00D76A1D"/>
    <w:rsid w:val="00D8161E"/>
    <w:rsid w:val="00D862A7"/>
    <w:rsid w:val="00D919C3"/>
    <w:rsid w:val="00D97152"/>
    <w:rsid w:val="00DA1C7C"/>
    <w:rsid w:val="00DA2E65"/>
    <w:rsid w:val="00DA5911"/>
    <w:rsid w:val="00DB2258"/>
    <w:rsid w:val="00DB25DC"/>
    <w:rsid w:val="00DB2757"/>
    <w:rsid w:val="00DB6A10"/>
    <w:rsid w:val="00DB7A7D"/>
    <w:rsid w:val="00DD3991"/>
    <w:rsid w:val="00DE2B24"/>
    <w:rsid w:val="00DE39C5"/>
    <w:rsid w:val="00DE3E34"/>
    <w:rsid w:val="00DF32E1"/>
    <w:rsid w:val="00DF5F30"/>
    <w:rsid w:val="00E00A72"/>
    <w:rsid w:val="00E02430"/>
    <w:rsid w:val="00E05D7B"/>
    <w:rsid w:val="00E12398"/>
    <w:rsid w:val="00E215F3"/>
    <w:rsid w:val="00E23BD6"/>
    <w:rsid w:val="00E24F26"/>
    <w:rsid w:val="00E32F1A"/>
    <w:rsid w:val="00E40234"/>
    <w:rsid w:val="00E5185E"/>
    <w:rsid w:val="00E56805"/>
    <w:rsid w:val="00E57A7A"/>
    <w:rsid w:val="00E8230D"/>
    <w:rsid w:val="00E8341C"/>
    <w:rsid w:val="00E90CF0"/>
    <w:rsid w:val="00EB49C9"/>
    <w:rsid w:val="00EB7E03"/>
    <w:rsid w:val="00ED13B9"/>
    <w:rsid w:val="00ED6A3C"/>
    <w:rsid w:val="00EE2E3E"/>
    <w:rsid w:val="00EE79DB"/>
    <w:rsid w:val="00EF246D"/>
    <w:rsid w:val="00F16192"/>
    <w:rsid w:val="00F24089"/>
    <w:rsid w:val="00F34555"/>
    <w:rsid w:val="00F34ACB"/>
    <w:rsid w:val="00F45F5C"/>
    <w:rsid w:val="00F50579"/>
    <w:rsid w:val="00F66420"/>
    <w:rsid w:val="00F66488"/>
    <w:rsid w:val="00F74842"/>
    <w:rsid w:val="00F81B41"/>
    <w:rsid w:val="00F82987"/>
    <w:rsid w:val="00F8391A"/>
    <w:rsid w:val="00F93F84"/>
    <w:rsid w:val="00F95B2A"/>
    <w:rsid w:val="00F97C80"/>
    <w:rsid w:val="00FA4D5F"/>
    <w:rsid w:val="00FA4E7A"/>
    <w:rsid w:val="00FB75EF"/>
    <w:rsid w:val="00FC2063"/>
    <w:rsid w:val="00FC3269"/>
    <w:rsid w:val="00FC5971"/>
    <w:rsid w:val="00FD436C"/>
    <w:rsid w:val="00FE0086"/>
    <w:rsid w:val="00FE1BE0"/>
    <w:rsid w:val="02990BA7"/>
    <w:rsid w:val="032C390B"/>
    <w:rsid w:val="0390B707"/>
    <w:rsid w:val="0391CAF1"/>
    <w:rsid w:val="03A850DF"/>
    <w:rsid w:val="05607319"/>
    <w:rsid w:val="05C87378"/>
    <w:rsid w:val="0688275E"/>
    <w:rsid w:val="071D75FD"/>
    <w:rsid w:val="075B41F3"/>
    <w:rsid w:val="0823F7BF"/>
    <w:rsid w:val="088B376C"/>
    <w:rsid w:val="089FE671"/>
    <w:rsid w:val="08CE9176"/>
    <w:rsid w:val="090EC7BC"/>
    <w:rsid w:val="09141561"/>
    <w:rsid w:val="09818931"/>
    <w:rsid w:val="09CD1546"/>
    <w:rsid w:val="0A401B2C"/>
    <w:rsid w:val="0A8AACC4"/>
    <w:rsid w:val="0AD54278"/>
    <w:rsid w:val="0C71AEB1"/>
    <w:rsid w:val="0D41C321"/>
    <w:rsid w:val="0DE8B932"/>
    <w:rsid w:val="0E70C32D"/>
    <w:rsid w:val="10294366"/>
    <w:rsid w:val="105EDE2A"/>
    <w:rsid w:val="10CFCF35"/>
    <w:rsid w:val="12962E15"/>
    <w:rsid w:val="132A8D89"/>
    <w:rsid w:val="1364BE9F"/>
    <w:rsid w:val="13D46EBE"/>
    <w:rsid w:val="140A1A22"/>
    <w:rsid w:val="15F10627"/>
    <w:rsid w:val="16FA8A31"/>
    <w:rsid w:val="18635D30"/>
    <w:rsid w:val="19786416"/>
    <w:rsid w:val="19B68259"/>
    <w:rsid w:val="1B511BB7"/>
    <w:rsid w:val="1BE0C7A7"/>
    <w:rsid w:val="1C6014D8"/>
    <w:rsid w:val="1CC84593"/>
    <w:rsid w:val="1CD082DE"/>
    <w:rsid w:val="1E43222B"/>
    <w:rsid w:val="1E510DC6"/>
    <w:rsid w:val="1E7BC1C5"/>
    <w:rsid w:val="1F2CE6D1"/>
    <w:rsid w:val="1F9FAA98"/>
    <w:rsid w:val="1FC992CE"/>
    <w:rsid w:val="215C1002"/>
    <w:rsid w:val="2165D6C7"/>
    <w:rsid w:val="2178F16D"/>
    <w:rsid w:val="21FF977E"/>
    <w:rsid w:val="222D1382"/>
    <w:rsid w:val="2340B7FE"/>
    <w:rsid w:val="236B9123"/>
    <w:rsid w:val="23EA0AA7"/>
    <w:rsid w:val="23F593C5"/>
    <w:rsid w:val="24A8BBE5"/>
    <w:rsid w:val="24F2DB27"/>
    <w:rsid w:val="2576D25A"/>
    <w:rsid w:val="266CA5E1"/>
    <w:rsid w:val="26959BF4"/>
    <w:rsid w:val="27C2BCED"/>
    <w:rsid w:val="28CCBE63"/>
    <w:rsid w:val="29547ED4"/>
    <w:rsid w:val="2A039B19"/>
    <w:rsid w:val="2BE163B1"/>
    <w:rsid w:val="2C56031F"/>
    <w:rsid w:val="2CEE4857"/>
    <w:rsid w:val="2D66D621"/>
    <w:rsid w:val="2D9AA958"/>
    <w:rsid w:val="2E209B30"/>
    <w:rsid w:val="30010AB2"/>
    <w:rsid w:val="30529EAB"/>
    <w:rsid w:val="30D86EDA"/>
    <w:rsid w:val="31D70A47"/>
    <w:rsid w:val="326433C9"/>
    <w:rsid w:val="32743F3B"/>
    <w:rsid w:val="32A5FEB0"/>
    <w:rsid w:val="332A578A"/>
    <w:rsid w:val="339B08E5"/>
    <w:rsid w:val="33E9CB55"/>
    <w:rsid w:val="34100F9C"/>
    <w:rsid w:val="35C63A43"/>
    <w:rsid w:val="36564B5F"/>
    <w:rsid w:val="36D83301"/>
    <w:rsid w:val="3758244A"/>
    <w:rsid w:val="3789E4E3"/>
    <w:rsid w:val="37A4DB98"/>
    <w:rsid w:val="39578FA0"/>
    <w:rsid w:val="3A033352"/>
    <w:rsid w:val="3A59FF29"/>
    <w:rsid w:val="3AE5CF27"/>
    <w:rsid w:val="3C1D5C11"/>
    <w:rsid w:val="3C833B3D"/>
    <w:rsid w:val="3D1A455D"/>
    <w:rsid w:val="3D7E7C18"/>
    <w:rsid w:val="3D920B0B"/>
    <w:rsid w:val="3DF29CB1"/>
    <w:rsid w:val="3E330885"/>
    <w:rsid w:val="3E3CAA88"/>
    <w:rsid w:val="3E3F7BFD"/>
    <w:rsid w:val="3F288085"/>
    <w:rsid w:val="3F4FEF5C"/>
    <w:rsid w:val="4035EA54"/>
    <w:rsid w:val="40660D1B"/>
    <w:rsid w:val="41950405"/>
    <w:rsid w:val="4222072F"/>
    <w:rsid w:val="435ED8DB"/>
    <w:rsid w:val="4380DBC1"/>
    <w:rsid w:val="43BFE8F2"/>
    <w:rsid w:val="43F17E91"/>
    <w:rsid w:val="43F6D4C9"/>
    <w:rsid w:val="44276119"/>
    <w:rsid w:val="4467D056"/>
    <w:rsid w:val="449CDEEC"/>
    <w:rsid w:val="454A232A"/>
    <w:rsid w:val="45DDC7D5"/>
    <w:rsid w:val="463E1A6A"/>
    <w:rsid w:val="46839A44"/>
    <w:rsid w:val="47522C07"/>
    <w:rsid w:val="47646334"/>
    <w:rsid w:val="48679233"/>
    <w:rsid w:val="489526FD"/>
    <w:rsid w:val="48BC1435"/>
    <w:rsid w:val="48E5005D"/>
    <w:rsid w:val="4940F962"/>
    <w:rsid w:val="4A6074F9"/>
    <w:rsid w:val="4A9B878E"/>
    <w:rsid w:val="4B118B8D"/>
    <w:rsid w:val="4B6565A7"/>
    <w:rsid w:val="4B6D9804"/>
    <w:rsid w:val="4B9AC994"/>
    <w:rsid w:val="4C126CE4"/>
    <w:rsid w:val="4C63CB59"/>
    <w:rsid w:val="4D50A1FD"/>
    <w:rsid w:val="4D9497B5"/>
    <w:rsid w:val="4DED390D"/>
    <w:rsid w:val="4E3C776A"/>
    <w:rsid w:val="4EBD9C36"/>
    <w:rsid w:val="4ECE2897"/>
    <w:rsid w:val="4EE6496B"/>
    <w:rsid w:val="5014DFF3"/>
    <w:rsid w:val="5077AC42"/>
    <w:rsid w:val="509E45F0"/>
    <w:rsid w:val="50B5F6EC"/>
    <w:rsid w:val="5124D9CF"/>
    <w:rsid w:val="5174182C"/>
    <w:rsid w:val="52805FFC"/>
    <w:rsid w:val="530453BE"/>
    <w:rsid w:val="530FE88D"/>
    <w:rsid w:val="539D8606"/>
    <w:rsid w:val="5540E573"/>
    <w:rsid w:val="559F7BE1"/>
    <w:rsid w:val="5652363C"/>
    <w:rsid w:val="56BA1092"/>
    <w:rsid w:val="571C8D50"/>
    <w:rsid w:val="57C3344D"/>
    <w:rsid w:val="57F7FC1B"/>
    <w:rsid w:val="586EBE34"/>
    <w:rsid w:val="58864C12"/>
    <w:rsid w:val="58B536F7"/>
    <w:rsid w:val="58CAA92B"/>
    <w:rsid w:val="5902EAC8"/>
    <w:rsid w:val="59576CBE"/>
    <w:rsid w:val="597B119E"/>
    <w:rsid w:val="59BAF389"/>
    <w:rsid w:val="59E16F49"/>
    <w:rsid w:val="5A66798C"/>
    <w:rsid w:val="5A9EBB29"/>
    <w:rsid w:val="5B70EAB3"/>
    <w:rsid w:val="5C450D93"/>
    <w:rsid w:val="5CCB6D3E"/>
    <w:rsid w:val="5D4926B8"/>
    <w:rsid w:val="5DB8A007"/>
    <w:rsid w:val="5DBB3330"/>
    <w:rsid w:val="5E41F66D"/>
    <w:rsid w:val="5F0DB7BD"/>
    <w:rsid w:val="5F8A2626"/>
    <w:rsid w:val="604805AD"/>
    <w:rsid w:val="60A423E8"/>
    <w:rsid w:val="60BDD706"/>
    <w:rsid w:val="60C233B5"/>
    <w:rsid w:val="60C635A2"/>
    <w:rsid w:val="612E1A43"/>
    <w:rsid w:val="6132AB6C"/>
    <w:rsid w:val="615B0507"/>
    <w:rsid w:val="61B10E02"/>
    <w:rsid w:val="62030281"/>
    <w:rsid w:val="6224B0FA"/>
    <w:rsid w:val="6228DA00"/>
    <w:rsid w:val="62645410"/>
    <w:rsid w:val="63E8B7BE"/>
    <w:rsid w:val="64148CCF"/>
    <w:rsid w:val="641A41CB"/>
    <w:rsid w:val="641E85C6"/>
    <w:rsid w:val="646CB0F1"/>
    <w:rsid w:val="6496FD02"/>
    <w:rsid w:val="650AF687"/>
    <w:rsid w:val="665EE9FD"/>
    <w:rsid w:val="667AFF3E"/>
    <w:rsid w:val="6744FC94"/>
    <w:rsid w:val="67510382"/>
    <w:rsid w:val="67E566C3"/>
    <w:rsid w:val="6846B852"/>
    <w:rsid w:val="691C93EC"/>
    <w:rsid w:val="69550FAF"/>
    <w:rsid w:val="69928DC4"/>
    <w:rsid w:val="69C7DB03"/>
    <w:rsid w:val="6A77D5F7"/>
    <w:rsid w:val="6A848ADC"/>
    <w:rsid w:val="6AA907D9"/>
    <w:rsid w:val="6AC9EBD0"/>
    <w:rsid w:val="6B60F365"/>
    <w:rsid w:val="6C215FD0"/>
    <w:rsid w:val="6C44D83A"/>
    <w:rsid w:val="6C8DC85D"/>
    <w:rsid w:val="6EA1AEE3"/>
    <w:rsid w:val="7026C8B9"/>
    <w:rsid w:val="7076C33B"/>
    <w:rsid w:val="71B8697C"/>
    <w:rsid w:val="723B9AF3"/>
    <w:rsid w:val="728F9CC1"/>
    <w:rsid w:val="734097FC"/>
    <w:rsid w:val="75306054"/>
    <w:rsid w:val="76181CF3"/>
    <w:rsid w:val="773659A4"/>
    <w:rsid w:val="77E53A9E"/>
    <w:rsid w:val="783586A5"/>
    <w:rsid w:val="7892FBE9"/>
    <w:rsid w:val="7A227C3E"/>
    <w:rsid w:val="7AD10BF5"/>
    <w:rsid w:val="7C1D0924"/>
    <w:rsid w:val="7C1ED397"/>
    <w:rsid w:val="7CC43623"/>
    <w:rsid w:val="7DB85AB4"/>
    <w:rsid w:val="7DBE7329"/>
    <w:rsid w:val="7DC59A83"/>
    <w:rsid w:val="7DF03A25"/>
    <w:rsid w:val="7E11863E"/>
    <w:rsid w:val="7F0B5B6E"/>
    <w:rsid w:val="7F2CA4DD"/>
    <w:rsid w:val="7F4CF664"/>
    <w:rsid w:val="7F6DEB7C"/>
    <w:rsid w:val="7FA557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ADE64"/>
  <w15:chartTrackingRefBased/>
  <w15:docId w15:val="{20348791-AE7E-4DF3-A7CE-154B168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DB"/>
    <w:pPr>
      <w:spacing w:after="200" w:line="276" w:lineRule="auto"/>
    </w:pPr>
    <w:rPr>
      <w:noProof/>
      <w:sz w:val="22"/>
      <w:szCs w:val="22"/>
      <w:lang w:val="en-GB" w:eastAsia="en-US"/>
    </w:rPr>
  </w:style>
  <w:style w:type="paragraph" w:styleId="Heading2">
    <w:name w:val="heading 2"/>
    <w:basedOn w:val="Normal"/>
    <w:link w:val="Heading2Char"/>
    <w:uiPriority w:val="9"/>
    <w:qFormat/>
    <w:rsid w:val="00A1181D"/>
    <w:pPr>
      <w:spacing w:before="100" w:beforeAutospacing="1" w:after="100" w:afterAutospacing="1" w:line="240" w:lineRule="auto"/>
      <w:outlineLvl w:val="1"/>
    </w:pPr>
    <w:rPr>
      <w:rFonts w:ascii="Times New Roman" w:eastAsia="Times New Roman" w:hAnsi="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51D"/>
    <w:pPr>
      <w:ind w:left="720"/>
      <w:contextualSpacing/>
    </w:pPr>
  </w:style>
  <w:style w:type="paragraph" w:styleId="BalloonText">
    <w:name w:val="Balloon Text"/>
    <w:basedOn w:val="Normal"/>
    <w:link w:val="BalloonTextChar"/>
    <w:uiPriority w:val="99"/>
    <w:semiHidden/>
    <w:unhideWhenUsed/>
    <w:rsid w:val="00E823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230D"/>
    <w:rPr>
      <w:rFonts w:ascii="Tahoma" w:hAnsi="Tahoma" w:cs="Tahoma"/>
      <w:noProof/>
      <w:sz w:val="16"/>
      <w:szCs w:val="16"/>
      <w:lang w:eastAsia="en-US"/>
    </w:rPr>
  </w:style>
  <w:style w:type="character" w:styleId="CommentReference">
    <w:name w:val="annotation reference"/>
    <w:uiPriority w:val="99"/>
    <w:semiHidden/>
    <w:unhideWhenUsed/>
    <w:rsid w:val="00177DC2"/>
    <w:rPr>
      <w:sz w:val="16"/>
      <w:szCs w:val="16"/>
    </w:rPr>
  </w:style>
  <w:style w:type="paragraph" w:styleId="CommentText">
    <w:name w:val="annotation text"/>
    <w:basedOn w:val="Normal"/>
    <w:link w:val="CommentTextChar"/>
    <w:uiPriority w:val="99"/>
    <w:unhideWhenUsed/>
    <w:rsid w:val="00177DC2"/>
    <w:rPr>
      <w:sz w:val="20"/>
      <w:szCs w:val="20"/>
    </w:rPr>
  </w:style>
  <w:style w:type="character" w:customStyle="1" w:styleId="CommentTextChar">
    <w:name w:val="Comment Text Char"/>
    <w:link w:val="CommentText"/>
    <w:uiPriority w:val="99"/>
    <w:rsid w:val="00177DC2"/>
    <w:rPr>
      <w:noProof/>
      <w:lang w:eastAsia="en-US"/>
    </w:rPr>
  </w:style>
  <w:style w:type="paragraph" w:styleId="CommentSubject">
    <w:name w:val="annotation subject"/>
    <w:basedOn w:val="CommentText"/>
    <w:next w:val="CommentText"/>
    <w:link w:val="CommentSubjectChar"/>
    <w:uiPriority w:val="99"/>
    <w:semiHidden/>
    <w:unhideWhenUsed/>
    <w:rsid w:val="00177DC2"/>
    <w:rPr>
      <w:b/>
      <w:bCs/>
    </w:rPr>
  </w:style>
  <w:style w:type="character" w:customStyle="1" w:styleId="CommentSubjectChar">
    <w:name w:val="Comment Subject Char"/>
    <w:link w:val="CommentSubject"/>
    <w:uiPriority w:val="99"/>
    <w:semiHidden/>
    <w:rsid w:val="00177DC2"/>
    <w:rPr>
      <w:b/>
      <w:bCs/>
      <w:noProof/>
      <w:lang w:eastAsia="en-US"/>
    </w:rPr>
  </w:style>
  <w:style w:type="paragraph" w:styleId="Header">
    <w:name w:val="header"/>
    <w:basedOn w:val="Normal"/>
    <w:link w:val="HeaderChar"/>
    <w:uiPriority w:val="99"/>
    <w:unhideWhenUsed/>
    <w:rsid w:val="008A0A63"/>
    <w:pPr>
      <w:tabs>
        <w:tab w:val="center" w:pos="4513"/>
        <w:tab w:val="right" w:pos="9026"/>
      </w:tabs>
    </w:pPr>
  </w:style>
  <w:style w:type="character" w:customStyle="1" w:styleId="HeaderChar">
    <w:name w:val="Header Char"/>
    <w:link w:val="Header"/>
    <w:uiPriority w:val="99"/>
    <w:rsid w:val="008A0A63"/>
    <w:rPr>
      <w:noProof/>
      <w:sz w:val="22"/>
      <w:szCs w:val="22"/>
      <w:lang w:eastAsia="en-US"/>
    </w:rPr>
  </w:style>
  <w:style w:type="paragraph" w:styleId="Footer">
    <w:name w:val="footer"/>
    <w:basedOn w:val="Normal"/>
    <w:link w:val="FooterChar"/>
    <w:uiPriority w:val="99"/>
    <w:unhideWhenUsed/>
    <w:rsid w:val="008A0A63"/>
    <w:pPr>
      <w:tabs>
        <w:tab w:val="center" w:pos="4513"/>
        <w:tab w:val="right" w:pos="9026"/>
      </w:tabs>
    </w:pPr>
  </w:style>
  <w:style w:type="character" w:customStyle="1" w:styleId="FooterChar">
    <w:name w:val="Footer Char"/>
    <w:link w:val="Footer"/>
    <w:uiPriority w:val="99"/>
    <w:rsid w:val="008A0A63"/>
    <w:rPr>
      <w:noProof/>
      <w:sz w:val="22"/>
      <w:szCs w:val="22"/>
      <w:lang w:eastAsia="en-US"/>
    </w:rPr>
  </w:style>
  <w:style w:type="paragraph" w:customStyle="1" w:styleId="Default">
    <w:name w:val="Default"/>
    <w:rsid w:val="00161527"/>
    <w:pPr>
      <w:autoSpaceDE w:val="0"/>
      <w:autoSpaceDN w:val="0"/>
      <w:adjustRightInd w:val="0"/>
    </w:pPr>
    <w:rPr>
      <w:rFonts w:ascii="Arial" w:hAnsi="Arial" w:cs="Arial"/>
      <w:color w:val="000000"/>
      <w:sz w:val="24"/>
      <w:szCs w:val="24"/>
      <w:lang w:val="en-GB" w:eastAsia="en-GB"/>
    </w:rPr>
  </w:style>
  <w:style w:type="character" w:customStyle="1" w:styleId="Heading2Char">
    <w:name w:val="Heading 2 Char"/>
    <w:link w:val="Heading2"/>
    <w:uiPriority w:val="9"/>
    <w:rsid w:val="00A1181D"/>
    <w:rPr>
      <w:rFonts w:ascii="Times New Roman" w:eastAsia="Times New Roman" w:hAnsi="Times New Roman"/>
      <w:b/>
      <w:bCs/>
      <w:sz w:val="36"/>
      <w:szCs w:val="36"/>
    </w:rPr>
  </w:style>
  <w:style w:type="paragraph" w:styleId="NormalWeb">
    <w:name w:val="Normal (Web)"/>
    <w:basedOn w:val="Normal"/>
    <w:uiPriority w:val="99"/>
    <w:semiHidden/>
    <w:unhideWhenUsed/>
    <w:rsid w:val="00A1181D"/>
    <w:pPr>
      <w:spacing w:before="100" w:beforeAutospacing="1" w:after="100" w:afterAutospacing="1" w:line="240" w:lineRule="auto"/>
    </w:pPr>
    <w:rPr>
      <w:rFonts w:ascii="Times New Roman" w:eastAsia="Times New Roman" w:hAnsi="Times New Roman"/>
      <w:noProof w:val="0"/>
      <w:sz w:val="24"/>
      <w:szCs w:val="24"/>
      <w:lang w:eastAsia="en-GB"/>
    </w:rPr>
  </w:style>
  <w:style w:type="paragraph" w:styleId="Revision">
    <w:name w:val="Revision"/>
    <w:hidden/>
    <w:uiPriority w:val="99"/>
    <w:semiHidden/>
    <w:rsid w:val="00DA5911"/>
    <w:rPr>
      <w:noProof/>
      <w:sz w:val="22"/>
      <w:szCs w:val="22"/>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
      <w:bodyDiv w:val="1"/>
      <w:marLeft w:val="0"/>
      <w:marRight w:val="0"/>
      <w:marTop w:val="0"/>
      <w:marBottom w:val="0"/>
      <w:divBdr>
        <w:top w:val="none" w:sz="0" w:space="0" w:color="auto"/>
        <w:left w:val="none" w:sz="0" w:space="0" w:color="auto"/>
        <w:bottom w:val="none" w:sz="0" w:space="0" w:color="auto"/>
        <w:right w:val="none" w:sz="0" w:space="0" w:color="auto"/>
      </w:divBdr>
    </w:div>
    <w:div w:id="1382242530">
      <w:bodyDiv w:val="1"/>
      <w:marLeft w:val="0"/>
      <w:marRight w:val="0"/>
      <w:marTop w:val="0"/>
      <w:marBottom w:val="0"/>
      <w:divBdr>
        <w:top w:val="none" w:sz="0" w:space="0" w:color="auto"/>
        <w:left w:val="none" w:sz="0" w:space="0" w:color="auto"/>
        <w:bottom w:val="none" w:sz="0" w:space="0" w:color="auto"/>
        <w:right w:val="none" w:sz="0" w:space="0" w:color="auto"/>
      </w:divBdr>
    </w:div>
    <w:div w:id="20033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0958DC-8E6B-457B-868A-39C5E0D020D4}">
    <t:Anchor>
      <t:Comment id="5531415"/>
    </t:Anchor>
    <t:History>
      <t:Event id="{070DB643-5DA4-4705-8D7E-595AA21AB937}" time="2023-05-05T16:16:00.494Z">
        <t:Attribution userId="S::miki.yamagata@ig.com::dda2bd8e-92a3-4cf0-b7da-88f648f44df4" userProvider="AD" userName="Miki Yamagata"/>
        <t:Anchor>
          <t:Comment id="231532444"/>
        </t:Anchor>
        <t:Create/>
      </t:Event>
      <t:Event id="{16131015-FE6F-41B0-A1D1-7C60A027F87D}" time="2023-05-05T16:16:00.494Z">
        <t:Attribution userId="S::miki.yamagata@ig.com::dda2bd8e-92a3-4cf0-b7da-88f648f44df4" userProvider="AD" userName="Miki Yamagata"/>
        <t:Anchor>
          <t:Comment id="231532444"/>
        </t:Anchor>
        <t:Assign userId="S::Gemma.Marchington@ig.com::f3c4553a-a53e-45b4-aa79-c968ec142519" userProvider="AD" userName="Gemma Marchington"/>
      </t:Event>
      <t:Event id="{93A84C22-9338-4A41-857D-B9844E76BCC3}" time="2023-05-05T16:16:00.494Z">
        <t:Attribution userId="S::miki.yamagata@ig.com::dda2bd8e-92a3-4cf0-b7da-88f648f44df4" userProvider="AD" userName="Miki Yamagata"/>
        <t:Anchor>
          <t:Comment id="231532444"/>
        </t:Anchor>
        <t:SetTitle title="Thanks @Joanna Nayler Very happy to take you through the changes - could you tell me when would work @Gemma Marchington ?"/>
      </t:Event>
      <t:Event id="{0096A729-4634-4B06-9AB3-FD0FEBCFB849}" time="2023-05-10T16:27:39.92Z">
        <t:Attribution userId="S::miki.yamagata@ig.com::dda2bd8e-92a3-4cf0-b7da-88f648f44df4" userProvider="AD" userName="Miki Yamagat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SharedWithUsers xmlns="2c895cb1-cc58-483e-86ff-96e45a974e3b">
      <UserInfo>
        <DisplayName>Gemma Marchington</DisplayName>
        <AccountId>115</AccountId>
        <AccountType/>
      </UserInfo>
    </SharedWithUsers>
  </documentManagement>
</p:properties>
</file>

<file path=customXml/itemProps1.xml><?xml version="1.0" encoding="utf-8"?>
<ds:datastoreItem xmlns:ds="http://schemas.openxmlformats.org/officeDocument/2006/customXml" ds:itemID="{902729F3-6463-4F1E-A4A9-13FA15B7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20649-057F-46C4-889F-A48DC3425A26}">
  <ds:schemaRefs>
    <ds:schemaRef ds:uri="http://schemas.openxmlformats.org/officeDocument/2006/bibliography"/>
  </ds:schemaRefs>
</ds:datastoreItem>
</file>

<file path=customXml/itemProps3.xml><?xml version="1.0" encoding="utf-8"?>
<ds:datastoreItem xmlns:ds="http://schemas.openxmlformats.org/officeDocument/2006/customXml" ds:itemID="{BFF21C43-3233-400F-9817-24700275E9B7}">
  <ds:schemaRefs>
    <ds:schemaRef ds:uri="http://schemas.microsoft.com/sharepoint/v3/contenttype/forms"/>
  </ds:schemaRefs>
</ds:datastoreItem>
</file>

<file path=customXml/itemProps4.xml><?xml version="1.0" encoding="utf-8"?>
<ds:datastoreItem xmlns:ds="http://schemas.openxmlformats.org/officeDocument/2006/customXml" ds:itemID="{3715B042-B2E1-4A8F-842B-6D09CD08E91B}">
  <ds:schemaRefs>
    <ds:schemaRef ds:uri="http://schemas.microsoft.com/office/2006/documentManagement/types"/>
    <ds:schemaRef ds:uri="http://schemas.microsoft.com/office/infopath/2007/PartnerControls"/>
    <ds:schemaRef ds:uri="http://purl.org/dc/elements/1.1/"/>
    <ds:schemaRef ds:uri="2c895cb1-cc58-483e-86ff-96e45a974e3b"/>
    <ds:schemaRef ds:uri="http://schemas.microsoft.com/office/2006/metadata/properties"/>
    <ds:schemaRef ds:uri="http://purl.org/dc/terms/"/>
    <ds:schemaRef ds:uri="88eea2b8-7b6b-4320-a2d4-c4f1f8632c99"/>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1322</Words>
  <Characters>7537</Characters>
  <Application>Microsoft Office Word</Application>
  <DocSecurity>0</DocSecurity>
  <Lines>62</Lines>
  <Paragraphs>17</Paragraphs>
  <ScaleCrop>false</ScaleCrop>
  <Company>IG Group PLC</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whitelc</dc:creator>
  <cp:keywords/>
  <cp:lastModifiedBy>Susan Woodlands</cp:lastModifiedBy>
  <cp:revision>2</cp:revision>
  <cp:lastPrinted>2016-12-03T17:04:00Z</cp:lastPrinted>
  <dcterms:created xsi:type="dcterms:W3CDTF">2023-05-25T16:42:00Z</dcterms:created>
  <dcterms:modified xsi:type="dcterms:W3CDTF">2023-05-25T16:42:00Z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0x0101006751EE74BA868B48B2675960B23E3BF5</vt:lpwstr>
  </property>
  <property fmtid="{D5CDD505-2E9C-101B-9397-08002B2CF9AE}" pid="3" name="MSIP_Label_9d8d5eb8-2d34-4728-91b4-c69a1e01a91b_Enabled">
    <vt:lpwstr>true</vt:lpwstr>
  </property>
  <property fmtid="{D5CDD505-2E9C-101B-9397-08002B2CF9AE}" pid="4" name="MSIP_Label_9d8d5eb8-2d34-4728-91b4-c69a1e01a91b_SetDate">
    <vt:lpwstr>2023-05-02T13:16:09Z</vt:lpwstr>
  </property>
  <property fmtid="{D5CDD505-2E9C-101B-9397-08002B2CF9AE}" pid="5" name="MSIP_Label_9d8d5eb8-2d34-4728-91b4-c69a1e01a91b_Method">
    <vt:lpwstr>Privileged</vt:lpwstr>
  </property>
  <property fmtid="{D5CDD505-2E9C-101B-9397-08002B2CF9AE}" pid="6" name="MSIP_Label_9d8d5eb8-2d34-4728-91b4-c69a1e01a91b_Name">
    <vt:lpwstr>C1 Public Content</vt:lpwstr>
  </property>
  <property fmtid="{D5CDD505-2E9C-101B-9397-08002B2CF9AE}" pid="7" name="MSIP_Label_9d8d5eb8-2d34-4728-91b4-c69a1e01a91b_SiteId">
    <vt:lpwstr>4b4cca9c-edaf-42f3-8e21-9070c5d9d76b</vt:lpwstr>
  </property>
  <property fmtid="{D5CDD505-2E9C-101B-9397-08002B2CF9AE}" pid="8" name="MSIP_Label_9d8d5eb8-2d34-4728-91b4-c69a1e01a91b_ActionId">
    <vt:lpwstr>ab73f15e-312f-4aeb-9f9c-086cbbe17d88</vt:lpwstr>
  </property>
  <property fmtid="{D5CDD505-2E9C-101B-9397-08002B2CF9AE}" pid="9" name="MSIP_Label_9d8d5eb8-2d34-4728-91b4-c69a1e01a91b_ContentBits">
    <vt:lpwstr>0</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