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053D" w14:textId="30F15136" w:rsidR="00C50025" w:rsidRDefault="00C50025" w:rsidP="00D65FE5">
      <w:pPr>
        <w:jc w:val="center"/>
        <w:rPr>
          <w:b/>
          <w:u w:val="single"/>
        </w:rPr>
      </w:pPr>
      <w:r>
        <w:rPr>
          <w:b/>
          <w:u w:val="single"/>
        </w:rPr>
        <w:t>Division of Responsibilities between Chair</w:t>
      </w:r>
      <w:r w:rsidR="006416CB">
        <w:rPr>
          <w:b/>
          <w:u w:val="single"/>
        </w:rPr>
        <w:t xml:space="preserve"> and </w:t>
      </w:r>
      <w:r>
        <w:rPr>
          <w:b/>
          <w:u w:val="single"/>
        </w:rPr>
        <w:t xml:space="preserve">Chief </w:t>
      </w:r>
      <w:r w:rsidR="00D65FE5">
        <w:rPr>
          <w:b/>
          <w:u w:val="single"/>
        </w:rPr>
        <w:t>E</w:t>
      </w:r>
      <w:r>
        <w:rPr>
          <w:b/>
          <w:u w:val="single"/>
        </w:rPr>
        <w:t>xecutive</w:t>
      </w:r>
      <w:r w:rsidR="006416CB">
        <w:rPr>
          <w:b/>
          <w:u w:val="single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4507"/>
      </w:tblGrid>
      <w:tr w:rsidR="00C50025" w:rsidRPr="00D0256E" w14:paraId="409C1CA6" w14:textId="77777777" w:rsidTr="00704A99">
        <w:tc>
          <w:tcPr>
            <w:tcW w:w="817" w:type="dxa"/>
          </w:tcPr>
          <w:p w14:paraId="42B5BE37" w14:textId="77777777" w:rsidR="00C50025" w:rsidRPr="00161527" w:rsidRDefault="00C50025" w:rsidP="00BB2C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998" w:type="dxa"/>
          </w:tcPr>
          <w:p w14:paraId="514F21A4" w14:textId="77777777" w:rsidR="00C50025" w:rsidRDefault="00C50025" w:rsidP="00BB2CBF">
            <w:pPr>
              <w:spacing w:after="0" w:line="240" w:lineRule="auto"/>
              <w:jc w:val="center"/>
              <w:rPr>
                <w:b/>
              </w:rPr>
            </w:pPr>
          </w:p>
          <w:p w14:paraId="63CA6C5D" w14:textId="44593E18" w:rsidR="00C50025" w:rsidRDefault="00A466C3" w:rsidP="00BB2C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Chair</w:t>
            </w:r>
          </w:p>
          <w:p w14:paraId="67AC192E" w14:textId="77777777" w:rsidR="00C50025" w:rsidRPr="00161527" w:rsidRDefault="00C50025" w:rsidP="00BB2CB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07" w:type="dxa"/>
          </w:tcPr>
          <w:p w14:paraId="504EDB0B" w14:textId="77777777" w:rsidR="00C50025" w:rsidRDefault="00C50025" w:rsidP="00BB2CBF">
            <w:pPr>
              <w:spacing w:after="0" w:line="240" w:lineRule="auto"/>
              <w:jc w:val="center"/>
              <w:rPr>
                <w:b/>
              </w:rPr>
            </w:pPr>
          </w:p>
          <w:p w14:paraId="7C360CF5" w14:textId="77777777" w:rsidR="00C50025" w:rsidRPr="00161527" w:rsidRDefault="00C50025" w:rsidP="00BB2CB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Chief </w:t>
            </w:r>
            <w:r w:rsidR="003D29B0">
              <w:rPr>
                <w:b/>
              </w:rPr>
              <w:t>E</w:t>
            </w:r>
            <w:r>
              <w:rPr>
                <w:b/>
              </w:rPr>
              <w:t>xecutive</w:t>
            </w:r>
          </w:p>
        </w:tc>
      </w:tr>
      <w:tr w:rsidR="00C50025" w:rsidRPr="00D0256E" w14:paraId="6B10A0BC" w14:textId="77777777" w:rsidTr="00BB2CBF">
        <w:tc>
          <w:tcPr>
            <w:tcW w:w="817" w:type="dxa"/>
          </w:tcPr>
          <w:p w14:paraId="4003D9B5" w14:textId="77777777" w:rsidR="00C50025" w:rsidRPr="00161527" w:rsidRDefault="00C50025" w:rsidP="00BB2CBF">
            <w:pPr>
              <w:spacing w:after="0" w:line="240" w:lineRule="auto"/>
            </w:pPr>
            <w:r w:rsidRPr="00161527">
              <w:t>1</w:t>
            </w:r>
          </w:p>
        </w:tc>
        <w:tc>
          <w:tcPr>
            <w:tcW w:w="8505" w:type="dxa"/>
            <w:gridSpan w:val="2"/>
          </w:tcPr>
          <w:p w14:paraId="6EC3C094" w14:textId="77777777" w:rsidR="00C50025" w:rsidRDefault="003D29B0" w:rsidP="00BB2C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Accountability</w:t>
            </w:r>
          </w:p>
          <w:p w14:paraId="66BFE713" w14:textId="77777777" w:rsidR="00C50025" w:rsidRDefault="00C50025" w:rsidP="00BB2CBF">
            <w:pPr>
              <w:spacing w:after="0" w:line="240" w:lineRule="auto"/>
              <w:rPr>
                <w:b/>
              </w:rPr>
            </w:pPr>
          </w:p>
        </w:tc>
      </w:tr>
      <w:tr w:rsidR="00C50025" w:rsidRPr="00D0256E" w14:paraId="69930474" w14:textId="77777777" w:rsidTr="00704A99">
        <w:tc>
          <w:tcPr>
            <w:tcW w:w="817" w:type="dxa"/>
          </w:tcPr>
          <w:p w14:paraId="77F34E85" w14:textId="77777777" w:rsidR="00C50025" w:rsidRPr="00161527" w:rsidRDefault="00C50025" w:rsidP="00BB2CBF">
            <w:pPr>
              <w:spacing w:after="0" w:line="240" w:lineRule="auto"/>
            </w:pPr>
            <w:r w:rsidRPr="00161527">
              <w:t>1.1</w:t>
            </w:r>
          </w:p>
        </w:tc>
        <w:tc>
          <w:tcPr>
            <w:tcW w:w="3998" w:type="dxa"/>
          </w:tcPr>
          <w:p w14:paraId="4C1838D4" w14:textId="2EB00812" w:rsidR="00C50025" w:rsidRPr="004F32B7" w:rsidRDefault="00C50025" w:rsidP="00D1320A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32B7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A466C3">
              <w:rPr>
                <w:rFonts w:ascii="Calibri" w:hAnsi="Calibri" w:cs="Calibri"/>
                <w:sz w:val="22"/>
                <w:szCs w:val="22"/>
              </w:rPr>
              <w:t>Chair</w:t>
            </w:r>
            <w:r w:rsidRPr="004F32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D29B0">
              <w:rPr>
                <w:rFonts w:ascii="Calibri" w:hAnsi="Calibri" w:cs="Calibri"/>
                <w:sz w:val="22"/>
                <w:szCs w:val="22"/>
              </w:rPr>
              <w:t>is appointed by and is accountable</w:t>
            </w:r>
            <w:r w:rsidRPr="004F32B7">
              <w:rPr>
                <w:rFonts w:ascii="Calibri" w:hAnsi="Calibri" w:cs="Calibri"/>
                <w:sz w:val="22"/>
                <w:szCs w:val="22"/>
              </w:rPr>
              <w:t xml:space="preserve"> to the Board</w:t>
            </w:r>
            <w:r w:rsidR="00A92D99">
              <w:rPr>
                <w:rFonts w:ascii="Calibri" w:hAnsi="Calibri" w:cs="Calibri"/>
                <w:sz w:val="22"/>
                <w:szCs w:val="22"/>
              </w:rPr>
              <w:t>.</w:t>
            </w:r>
            <w:r w:rsidRPr="004F32B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849083D" w14:textId="77777777" w:rsidR="00C50025" w:rsidRPr="004F32B7" w:rsidRDefault="00C50025" w:rsidP="00D1320A">
            <w:pPr>
              <w:spacing w:after="0" w:line="240" w:lineRule="auto"/>
              <w:jc w:val="both"/>
              <w:rPr>
                <w:rFonts w:cs="Calibri"/>
                <w:b/>
              </w:rPr>
            </w:pPr>
          </w:p>
        </w:tc>
        <w:tc>
          <w:tcPr>
            <w:tcW w:w="4507" w:type="dxa"/>
          </w:tcPr>
          <w:p w14:paraId="4E8A08FC" w14:textId="32325CDA" w:rsidR="00C50025" w:rsidRDefault="00C50025" w:rsidP="003D29B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4F32B7">
              <w:rPr>
                <w:rFonts w:ascii="Calibri" w:hAnsi="Calibri" w:cs="Calibri"/>
                <w:sz w:val="22"/>
                <w:szCs w:val="22"/>
              </w:rPr>
              <w:t xml:space="preserve">The Chief Executive Officer </w:t>
            </w:r>
            <w:r w:rsidR="003D29B0">
              <w:rPr>
                <w:rFonts w:ascii="Calibri" w:hAnsi="Calibri" w:cs="Calibri"/>
                <w:sz w:val="22"/>
                <w:szCs w:val="22"/>
              </w:rPr>
              <w:t xml:space="preserve">is appointed by the Board and is accountable to </w:t>
            </w:r>
            <w:r w:rsidRPr="004F32B7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A466C3">
              <w:rPr>
                <w:rFonts w:ascii="Calibri" w:hAnsi="Calibri" w:cs="Calibri"/>
                <w:sz w:val="22"/>
                <w:szCs w:val="22"/>
              </w:rPr>
              <w:t>Chair</w:t>
            </w:r>
            <w:r w:rsidR="003D29B0">
              <w:rPr>
                <w:rFonts w:ascii="Calibri" w:hAnsi="Calibri" w:cs="Calibri"/>
                <w:sz w:val="22"/>
                <w:szCs w:val="22"/>
              </w:rPr>
              <w:t xml:space="preserve"> and the Board</w:t>
            </w:r>
            <w:r w:rsidR="00A92D99">
              <w:rPr>
                <w:rFonts w:ascii="Calibri" w:hAnsi="Calibri" w:cs="Calibri"/>
                <w:sz w:val="22"/>
                <w:szCs w:val="22"/>
              </w:rPr>
              <w:t>.</w:t>
            </w:r>
            <w:r w:rsidRPr="004F32B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4CDE33B" w14:textId="26A978BF" w:rsidR="00704A99" w:rsidRPr="003D29B0" w:rsidRDefault="00704A99" w:rsidP="003D29B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0025" w:rsidRPr="00D0256E" w14:paraId="621A3777" w14:textId="77777777" w:rsidTr="00BB2CBF">
        <w:tc>
          <w:tcPr>
            <w:tcW w:w="817" w:type="dxa"/>
          </w:tcPr>
          <w:p w14:paraId="481ED4EB" w14:textId="77777777" w:rsidR="00C50025" w:rsidRPr="00161527" w:rsidRDefault="00C50025" w:rsidP="00BB2CBF">
            <w:pPr>
              <w:spacing w:after="0" w:line="240" w:lineRule="auto"/>
            </w:pPr>
            <w:r>
              <w:t>2</w:t>
            </w:r>
          </w:p>
        </w:tc>
        <w:tc>
          <w:tcPr>
            <w:tcW w:w="8505" w:type="dxa"/>
            <w:gridSpan w:val="2"/>
          </w:tcPr>
          <w:p w14:paraId="61DB2219" w14:textId="77777777" w:rsidR="00C50025" w:rsidRPr="004F32B7" w:rsidRDefault="00C50025" w:rsidP="00BB2CB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F32B7">
              <w:rPr>
                <w:rFonts w:ascii="Calibri" w:hAnsi="Calibri" w:cs="Calibri"/>
                <w:b/>
                <w:sz w:val="22"/>
                <w:szCs w:val="22"/>
              </w:rPr>
              <w:t>Key Respon</w:t>
            </w:r>
            <w:r w:rsidR="003D29B0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4F32B7">
              <w:rPr>
                <w:rFonts w:ascii="Calibri" w:hAnsi="Calibri" w:cs="Calibri"/>
                <w:b/>
                <w:sz w:val="22"/>
                <w:szCs w:val="22"/>
              </w:rPr>
              <w:t>ibil</w:t>
            </w:r>
            <w:r w:rsidR="003D29B0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Pr="004F32B7">
              <w:rPr>
                <w:rFonts w:ascii="Calibri" w:hAnsi="Calibri" w:cs="Calibri"/>
                <w:b/>
                <w:sz w:val="22"/>
                <w:szCs w:val="22"/>
              </w:rPr>
              <w:t>ties</w:t>
            </w:r>
          </w:p>
          <w:p w14:paraId="2EB7F40C" w14:textId="77777777" w:rsidR="00C50025" w:rsidRPr="004F32B7" w:rsidRDefault="00C50025" w:rsidP="00BB2CB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50025" w:rsidRPr="00D0256E" w14:paraId="7775E48A" w14:textId="77777777" w:rsidTr="00704A99">
        <w:tc>
          <w:tcPr>
            <w:tcW w:w="817" w:type="dxa"/>
          </w:tcPr>
          <w:p w14:paraId="22CEB888" w14:textId="77777777" w:rsidR="00C50025" w:rsidRPr="00161527" w:rsidRDefault="00C50025" w:rsidP="00BB2CBF">
            <w:pPr>
              <w:spacing w:after="0" w:line="240" w:lineRule="auto"/>
            </w:pPr>
            <w:r>
              <w:t>2.1</w:t>
            </w:r>
          </w:p>
        </w:tc>
        <w:tc>
          <w:tcPr>
            <w:tcW w:w="3998" w:type="dxa"/>
          </w:tcPr>
          <w:p w14:paraId="6F8A0D40" w14:textId="5120E785" w:rsidR="00C50025" w:rsidRPr="004F32B7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32B7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A466C3">
              <w:rPr>
                <w:rFonts w:ascii="Calibri" w:hAnsi="Calibri" w:cs="Calibri"/>
                <w:sz w:val="22"/>
                <w:szCs w:val="22"/>
              </w:rPr>
              <w:t>Chair</w:t>
            </w:r>
            <w:r w:rsidRPr="004F32B7">
              <w:rPr>
                <w:rFonts w:ascii="Calibri" w:hAnsi="Calibri" w:cs="Calibri"/>
                <w:sz w:val="22"/>
                <w:szCs w:val="22"/>
              </w:rPr>
              <w:t>'s principal responsib</w:t>
            </w:r>
            <w:r w:rsidR="003D29B0">
              <w:rPr>
                <w:rFonts w:ascii="Calibri" w:hAnsi="Calibri" w:cs="Calibri"/>
                <w:sz w:val="22"/>
                <w:szCs w:val="22"/>
              </w:rPr>
              <w:t>ility is to create the conditions to ensure the Board</w:t>
            </w:r>
            <w:r w:rsidR="0013362D">
              <w:rPr>
                <w:rFonts w:ascii="Calibri" w:hAnsi="Calibri" w:cs="Calibri"/>
                <w:sz w:val="22"/>
                <w:szCs w:val="22"/>
              </w:rPr>
              <w:t>’</w:t>
            </w:r>
            <w:r w:rsidR="003D29B0">
              <w:rPr>
                <w:rFonts w:ascii="Calibri" w:hAnsi="Calibri" w:cs="Calibri"/>
                <w:sz w:val="22"/>
                <w:szCs w:val="22"/>
              </w:rPr>
              <w:t>s effectiveness in all aspects of its role</w:t>
            </w:r>
            <w:r w:rsidR="00F31EA1">
              <w:rPr>
                <w:rFonts w:ascii="Calibri" w:hAnsi="Calibri" w:cs="Calibri"/>
                <w:sz w:val="22"/>
                <w:szCs w:val="22"/>
              </w:rPr>
              <w:t xml:space="preserve"> including promotion of the long-term sustainable success of the Group and generating value for shareholders.</w:t>
            </w:r>
          </w:p>
          <w:p w14:paraId="1E2B33E8" w14:textId="77777777" w:rsidR="00C50025" w:rsidRPr="004F32B7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7" w:type="dxa"/>
          </w:tcPr>
          <w:p w14:paraId="7A73153B" w14:textId="477D9DE4" w:rsidR="002B29F1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32B7">
              <w:rPr>
                <w:rFonts w:ascii="Calibri" w:hAnsi="Calibri" w:cs="Calibri"/>
                <w:sz w:val="22"/>
                <w:szCs w:val="22"/>
              </w:rPr>
              <w:t xml:space="preserve">The Chief Executive Officer's principal responsibility is </w:t>
            </w:r>
            <w:r w:rsidR="003D29B0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5533D0">
              <w:rPr>
                <w:rFonts w:ascii="Calibri" w:hAnsi="Calibri" w:cs="Calibri"/>
                <w:sz w:val="22"/>
                <w:szCs w:val="22"/>
              </w:rPr>
              <w:t>day-to-day</w:t>
            </w:r>
            <w:r w:rsidR="003D29B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E35C9">
              <w:rPr>
                <w:rFonts w:ascii="Calibri" w:hAnsi="Calibri" w:cs="Calibri"/>
                <w:sz w:val="22"/>
                <w:szCs w:val="22"/>
              </w:rPr>
              <w:t xml:space="preserve">decision making relating to and </w:t>
            </w:r>
            <w:r w:rsidR="003D29B0">
              <w:rPr>
                <w:rFonts w:ascii="Calibri" w:hAnsi="Calibri" w:cs="Calibri"/>
                <w:sz w:val="22"/>
                <w:szCs w:val="22"/>
              </w:rPr>
              <w:t>management of the affairs of the Group</w:t>
            </w:r>
            <w:r w:rsidR="00F31EA1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2B29F1">
              <w:rPr>
                <w:rFonts w:ascii="Calibri" w:hAnsi="Calibri" w:cs="Calibri"/>
                <w:sz w:val="22"/>
                <w:szCs w:val="22"/>
              </w:rPr>
              <w:t>for delivering financial performance in line with the Group’s agreed budget</w:t>
            </w:r>
            <w:r w:rsidR="00F31EA1">
              <w:rPr>
                <w:rFonts w:ascii="Calibri" w:hAnsi="Calibri" w:cs="Calibri"/>
                <w:sz w:val="22"/>
                <w:szCs w:val="22"/>
              </w:rPr>
              <w:t xml:space="preserve"> and for organisation</w:t>
            </w:r>
            <w:r w:rsidR="0006459F">
              <w:rPr>
                <w:rFonts w:ascii="Calibri" w:hAnsi="Calibri" w:cs="Calibri"/>
                <w:sz w:val="22"/>
                <w:szCs w:val="22"/>
              </w:rPr>
              <w:t>a</w:t>
            </w:r>
            <w:r w:rsidR="00F31EA1">
              <w:rPr>
                <w:rFonts w:ascii="Calibri" w:hAnsi="Calibri" w:cs="Calibri"/>
                <w:sz w:val="22"/>
                <w:szCs w:val="22"/>
              </w:rPr>
              <w:t xml:space="preserve">l design of the </w:t>
            </w:r>
            <w:r w:rsidR="00A92D99">
              <w:rPr>
                <w:rFonts w:ascii="Calibri" w:hAnsi="Calibri" w:cs="Calibri"/>
                <w:sz w:val="22"/>
                <w:szCs w:val="22"/>
              </w:rPr>
              <w:t>G</w:t>
            </w:r>
            <w:r w:rsidR="00F31EA1">
              <w:rPr>
                <w:rFonts w:ascii="Calibri" w:hAnsi="Calibri" w:cs="Calibri"/>
                <w:sz w:val="22"/>
                <w:szCs w:val="22"/>
              </w:rPr>
              <w:t>roup’s operations</w:t>
            </w:r>
            <w:r w:rsidR="00A92D99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C02835A" w14:textId="77777777" w:rsidR="00C50025" w:rsidRPr="004F32B7" w:rsidRDefault="002B29F1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50025" w:rsidRPr="00D0256E" w14:paraId="28F54583" w14:textId="77777777" w:rsidTr="00704A99">
        <w:tc>
          <w:tcPr>
            <w:tcW w:w="817" w:type="dxa"/>
          </w:tcPr>
          <w:p w14:paraId="00CD81F7" w14:textId="77777777" w:rsidR="00C50025" w:rsidRPr="00161527" w:rsidRDefault="00C50025" w:rsidP="00BB2CBF">
            <w:pPr>
              <w:spacing w:after="0" w:line="240" w:lineRule="auto"/>
            </w:pPr>
            <w:r>
              <w:t>2.2</w:t>
            </w:r>
          </w:p>
        </w:tc>
        <w:tc>
          <w:tcPr>
            <w:tcW w:w="3998" w:type="dxa"/>
          </w:tcPr>
          <w:p w14:paraId="632778D7" w14:textId="765EA85D" w:rsidR="00C50025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32B7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A466C3">
              <w:rPr>
                <w:rFonts w:ascii="Calibri" w:hAnsi="Calibri" w:cs="Calibri"/>
                <w:sz w:val="22"/>
                <w:szCs w:val="22"/>
              </w:rPr>
              <w:t>Chair</w:t>
            </w:r>
            <w:r w:rsidRPr="004F32B7">
              <w:rPr>
                <w:rFonts w:ascii="Calibri" w:hAnsi="Calibri" w:cs="Calibri"/>
                <w:sz w:val="22"/>
                <w:szCs w:val="22"/>
              </w:rPr>
              <w:t xml:space="preserve"> is responsible for ensuring that the Board </w:t>
            </w:r>
            <w:r w:rsidR="00FE35C9">
              <w:rPr>
                <w:rFonts w:ascii="Calibri" w:hAnsi="Calibri" w:cs="Calibri"/>
                <w:sz w:val="22"/>
                <w:szCs w:val="22"/>
              </w:rPr>
              <w:t xml:space="preserve">takes an active and </w:t>
            </w:r>
            <w:r w:rsidRPr="004F32B7">
              <w:rPr>
                <w:rFonts w:ascii="Calibri" w:hAnsi="Calibri" w:cs="Calibri"/>
                <w:sz w:val="22"/>
                <w:szCs w:val="22"/>
              </w:rPr>
              <w:t>constructive part in</w:t>
            </w:r>
            <w:r w:rsidR="00FE35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207D7">
              <w:rPr>
                <w:rFonts w:ascii="Calibri" w:hAnsi="Calibri" w:cs="Calibri"/>
                <w:sz w:val="22"/>
                <w:szCs w:val="22"/>
              </w:rPr>
              <w:t xml:space="preserve">supporting and </w:t>
            </w:r>
            <w:r w:rsidR="00FE35C9">
              <w:rPr>
                <w:rFonts w:ascii="Calibri" w:hAnsi="Calibri" w:cs="Calibri"/>
                <w:sz w:val="22"/>
                <w:szCs w:val="22"/>
              </w:rPr>
              <w:t>challenging management on development of the</w:t>
            </w:r>
            <w:r w:rsidRPr="004F32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E35C9">
              <w:rPr>
                <w:rFonts w:ascii="Calibri" w:hAnsi="Calibri" w:cs="Calibri"/>
                <w:sz w:val="22"/>
                <w:szCs w:val="22"/>
              </w:rPr>
              <w:t xml:space="preserve">Group’s </w:t>
            </w:r>
            <w:r w:rsidRPr="004F32B7">
              <w:rPr>
                <w:rFonts w:ascii="Calibri" w:hAnsi="Calibri" w:cs="Calibri"/>
                <w:sz w:val="22"/>
                <w:szCs w:val="22"/>
              </w:rPr>
              <w:t xml:space="preserve">strategy and overall commercial objectives. </w:t>
            </w:r>
          </w:p>
          <w:p w14:paraId="66FF8FB5" w14:textId="7D73EBBC" w:rsidR="00AB394D" w:rsidRPr="004F32B7" w:rsidRDefault="00AB394D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7" w:type="dxa"/>
          </w:tcPr>
          <w:p w14:paraId="75390EAF" w14:textId="4545C954" w:rsidR="00C50025" w:rsidRPr="004F32B7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32B7">
              <w:rPr>
                <w:rFonts w:ascii="Calibri" w:hAnsi="Calibri" w:cs="Calibri"/>
                <w:sz w:val="22"/>
                <w:szCs w:val="22"/>
              </w:rPr>
              <w:t xml:space="preserve">The Chief Executive Officer is responsible for developing </w:t>
            </w:r>
            <w:r w:rsidR="00FE35C9">
              <w:rPr>
                <w:rFonts w:ascii="Calibri" w:hAnsi="Calibri" w:cs="Calibri"/>
                <w:sz w:val="22"/>
                <w:szCs w:val="22"/>
              </w:rPr>
              <w:t xml:space="preserve">and executing </w:t>
            </w:r>
            <w:r w:rsidRPr="004F32B7">
              <w:rPr>
                <w:rFonts w:ascii="Calibri" w:hAnsi="Calibri" w:cs="Calibri"/>
                <w:sz w:val="22"/>
                <w:szCs w:val="22"/>
              </w:rPr>
              <w:t xml:space="preserve">the Company's strategy and overall commercial objectives </w:t>
            </w:r>
            <w:r w:rsidR="00FE35C9">
              <w:rPr>
                <w:rFonts w:ascii="Calibri" w:hAnsi="Calibri" w:cs="Calibri"/>
                <w:sz w:val="22"/>
                <w:szCs w:val="22"/>
              </w:rPr>
              <w:t>for consideration by the Board</w:t>
            </w:r>
            <w:r w:rsidR="00A92D99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3D29B0" w:rsidRPr="00D0256E" w14:paraId="4298E017" w14:textId="77777777" w:rsidTr="00704A99">
        <w:tc>
          <w:tcPr>
            <w:tcW w:w="817" w:type="dxa"/>
          </w:tcPr>
          <w:p w14:paraId="647888D5" w14:textId="77777777" w:rsidR="003D29B0" w:rsidRDefault="00FE35C9" w:rsidP="003D29B0">
            <w:pPr>
              <w:spacing w:after="0" w:line="240" w:lineRule="auto"/>
            </w:pPr>
            <w:r>
              <w:t>2.3</w:t>
            </w:r>
          </w:p>
        </w:tc>
        <w:tc>
          <w:tcPr>
            <w:tcW w:w="3998" w:type="dxa"/>
          </w:tcPr>
          <w:p w14:paraId="7F262FD6" w14:textId="1BB02F2D" w:rsidR="003D29B0" w:rsidRPr="004F32B7" w:rsidRDefault="0013362D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A466C3">
              <w:rPr>
                <w:rFonts w:ascii="Calibri" w:hAnsi="Calibri" w:cs="Calibri"/>
                <w:sz w:val="22"/>
                <w:szCs w:val="22"/>
              </w:rPr>
              <w:t>Chair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should </w:t>
            </w:r>
            <w:r w:rsidR="00C07F34">
              <w:rPr>
                <w:rFonts w:ascii="Calibri" w:hAnsi="Calibri" w:cs="Calibri"/>
                <w:sz w:val="22"/>
                <w:szCs w:val="22"/>
              </w:rPr>
              <w:t xml:space="preserve">take an active role in </w:t>
            </w:r>
            <w:r w:rsidR="00F2511C">
              <w:rPr>
                <w:rFonts w:ascii="Calibri" w:hAnsi="Calibri" w:cs="Calibri"/>
                <w:sz w:val="22"/>
                <w:szCs w:val="22"/>
              </w:rPr>
              <w:t xml:space="preserve">Board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and CEO </w:t>
            </w:r>
            <w:r w:rsidR="00F2511C">
              <w:rPr>
                <w:rFonts w:ascii="Calibri" w:hAnsi="Calibri" w:cs="Calibri"/>
                <w:sz w:val="22"/>
                <w:szCs w:val="22"/>
              </w:rPr>
              <w:t>succession planning including in relation to</w:t>
            </w:r>
            <w:r w:rsidR="00C07F34">
              <w:rPr>
                <w:rFonts w:ascii="Calibri" w:hAnsi="Calibri" w:cs="Calibri"/>
                <w:sz w:val="22"/>
                <w:szCs w:val="22"/>
              </w:rPr>
              <w:t xml:space="preserve"> the structure, size and composition of the Board and its Committees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07" w:type="dxa"/>
          </w:tcPr>
          <w:p w14:paraId="08F86572" w14:textId="77777777" w:rsidR="003D29B0" w:rsidRDefault="00F2511C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</w:t>
            </w:r>
            <w:r w:rsidR="002A1C70">
              <w:rPr>
                <w:rFonts w:ascii="Calibri" w:hAnsi="Calibri" w:cs="Calibri"/>
                <w:sz w:val="22"/>
                <w:szCs w:val="22"/>
              </w:rPr>
              <w:t>cruitment, leadership and development of the Group’s executive management team below Board level</w:t>
            </w:r>
            <w: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and provision of</w:t>
            </w:r>
            <w:r w:rsidRPr="00F2511C">
              <w:rPr>
                <w:rFonts w:ascii="Calibri" w:hAnsi="Calibri" w:cs="Calibri"/>
                <w:sz w:val="22"/>
                <w:szCs w:val="22"/>
              </w:rPr>
              <w:t xml:space="preserve"> information and advice on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executive management </w:t>
            </w:r>
            <w:r w:rsidRPr="00F2511C">
              <w:rPr>
                <w:rFonts w:ascii="Calibri" w:hAnsi="Calibri" w:cs="Calibri"/>
                <w:sz w:val="22"/>
                <w:szCs w:val="22"/>
              </w:rPr>
              <w:t>succession planning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to</w:t>
            </w:r>
            <w:r w:rsidRPr="00F2511C">
              <w:rPr>
                <w:rFonts w:ascii="Calibri" w:hAnsi="Calibri" w:cs="Calibri"/>
                <w:sz w:val="22"/>
                <w:szCs w:val="22"/>
              </w:rPr>
              <w:t xml:space="preserve"> the Board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7062A7C" w14:textId="20877DF8" w:rsidR="00704A99" w:rsidRPr="004F32B7" w:rsidRDefault="00704A99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0025" w:rsidRPr="004F32B7" w14:paraId="17265FB2" w14:textId="77777777" w:rsidTr="00BB2CBF">
        <w:tc>
          <w:tcPr>
            <w:tcW w:w="817" w:type="dxa"/>
          </w:tcPr>
          <w:p w14:paraId="7DD9B4BC" w14:textId="77777777" w:rsidR="00C50025" w:rsidRPr="004F32B7" w:rsidRDefault="002A1C70" w:rsidP="00BB2C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C50025" w:rsidRPr="004F32B7">
              <w:rPr>
                <w:rFonts w:cs="Calibri"/>
              </w:rPr>
              <w:t>3.</w:t>
            </w:r>
          </w:p>
        </w:tc>
        <w:tc>
          <w:tcPr>
            <w:tcW w:w="8505" w:type="dxa"/>
            <w:gridSpan w:val="2"/>
          </w:tcPr>
          <w:p w14:paraId="23F77D18" w14:textId="77777777" w:rsidR="00C50025" w:rsidRPr="004F32B7" w:rsidRDefault="00C50025" w:rsidP="00BB2CB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4F32B7">
              <w:rPr>
                <w:rFonts w:ascii="Calibri" w:hAnsi="Calibri" w:cs="Calibri"/>
                <w:b/>
                <w:sz w:val="22"/>
                <w:szCs w:val="22"/>
              </w:rPr>
              <w:t>Other Responsibilities</w:t>
            </w:r>
          </w:p>
          <w:p w14:paraId="6886D1AA" w14:textId="77777777" w:rsidR="00C50025" w:rsidRPr="004F32B7" w:rsidRDefault="00C50025" w:rsidP="00BB2CBF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50025" w:rsidRPr="004F32B7" w14:paraId="01FA94FA" w14:textId="77777777" w:rsidTr="00704A99">
        <w:tc>
          <w:tcPr>
            <w:tcW w:w="817" w:type="dxa"/>
          </w:tcPr>
          <w:p w14:paraId="3631E996" w14:textId="77777777" w:rsidR="00C50025" w:rsidRPr="004F32B7" w:rsidRDefault="00C50025" w:rsidP="00BB2CBF">
            <w:pPr>
              <w:spacing w:after="0" w:line="240" w:lineRule="auto"/>
              <w:rPr>
                <w:rFonts w:cs="Calibri"/>
              </w:rPr>
            </w:pPr>
            <w:r w:rsidRPr="004F32B7">
              <w:rPr>
                <w:rFonts w:cs="Calibri"/>
              </w:rPr>
              <w:t>3.1</w:t>
            </w:r>
          </w:p>
        </w:tc>
        <w:tc>
          <w:tcPr>
            <w:tcW w:w="3998" w:type="dxa"/>
          </w:tcPr>
          <w:p w14:paraId="33E75557" w14:textId="38CD5900" w:rsidR="00C50025" w:rsidRDefault="002A1C70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="00C50025" w:rsidRPr="004F32B7">
              <w:rPr>
                <w:rFonts w:ascii="Calibri" w:hAnsi="Calibri" w:cs="Calibri"/>
                <w:sz w:val="22"/>
                <w:szCs w:val="22"/>
              </w:rPr>
              <w:t xml:space="preserve">etting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the Board agenda, </w:t>
            </w:r>
            <w:r w:rsidR="003E6135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hairing the Board meeting</w:t>
            </w:r>
            <w:r w:rsidR="00E52931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ED629F">
              <w:rPr>
                <w:rFonts w:ascii="Calibri" w:hAnsi="Calibri" w:cs="Calibri"/>
                <w:sz w:val="22"/>
                <w:szCs w:val="22"/>
              </w:rPr>
              <w:t>General meetings.  C</w:t>
            </w:r>
            <w:r>
              <w:rPr>
                <w:rFonts w:ascii="Calibri" w:hAnsi="Calibri" w:cs="Calibri"/>
                <w:sz w:val="22"/>
                <w:szCs w:val="22"/>
              </w:rPr>
              <w:t>reating the right conditions to ensure sufficient time for constructive discussion and challenge at Board</w:t>
            </w:r>
            <w:r w:rsidR="00C50025" w:rsidRPr="004F32B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33DAE2A1" w14:textId="7C53BF85" w:rsidR="00AB394D" w:rsidRPr="004F32B7" w:rsidRDefault="00AB394D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7" w:type="dxa"/>
          </w:tcPr>
          <w:p w14:paraId="6F350ABC" w14:textId="72009FA5" w:rsidR="00C50025" w:rsidRPr="004F32B7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32B7">
              <w:rPr>
                <w:rFonts w:ascii="Calibri" w:hAnsi="Calibri" w:cs="Calibri"/>
                <w:sz w:val="22"/>
                <w:szCs w:val="22"/>
              </w:rPr>
              <w:t>Providing input to the Board's agenda</w:t>
            </w:r>
            <w:r w:rsidR="002A1C70">
              <w:rPr>
                <w:rFonts w:ascii="Calibri" w:hAnsi="Calibri" w:cs="Calibri"/>
                <w:sz w:val="22"/>
                <w:szCs w:val="22"/>
              </w:rPr>
              <w:t>, providing a Chief Executive Officer</w:t>
            </w:r>
            <w:r w:rsidR="00A92D99">
              <w:rPr>
                <w:rFonts w:ascii="Calibri" w:hAnsi="Calibri" w:cs="Calibri"/>
                <w:sz w:val="22"/>
                <w:szCs w:val="22"/>
              </w:rPr>
              <w:t>’</w:t>
            </w:r>
            <w:r w:rsidR="002A1C70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="00A92D99">
              <w:rPr>
                <w:rFonts w:ascii="Calibri" w:hAnsi="Calibri" w:cs="Calibri"/>
                <w:sz w:val="22"/>
                <w:szCs w:val="22"/>
              </w:rPr>
              <w:t>R</w:t>
            </w:r>
            <w:r w:rsidR="002A1C70">
              <w:rPr>
                <w:rFonts w:ascii="Calibri" w:hAnsi="Calibri" w:cs="Calibri"/>
                <w:sz w:val="22"/>
                <w:szCs w:val="22"/>
              </w:rPr>
              <w:t>eport</w:t>
            </w:r>
            <w:r w:rsidRPr="004F32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A1C70">
              <w:rPr>
                <w:rFonts w:ascii="Calibri" w:hAnsi="Calibri" w:cs="Calibri"/>
                <w:sz w:val="22"/>
                <w:szCs w:val="22"/>
              </w:rPr>
              <w:t xml:space="preserve">and encouraging participation in </w:t>
            </w:r>
            <w:r w:rsidR="00A92D99">
              <w:rPr>
                <w:rFonts w:ascii="Calibri" w:hAnsi="Calibri" w:cs="Calibri"/>
                <w:sz w:val="22"/>
                <w:szCs w:val="22"/>
              </w:rPr>
              <w:t>B</w:t>
            </w:r>
            <w:r w:rsidR="002A1C70">
              <w:rPr>
                <w:rFonts w:ascii="Calibri" w:hAnsi="Calibri" w:cs="Calibri"/>
                <w:sz w:val="22"/>
                <w:szCs w:val="22"/>
              </w:rPr>
              <w:t>oard discussions by executive management</w:t>
            </w:r>
            <w:r w:rsidR="00A92D99">
              <w:rPr>
                <w:rFonts w:ascii="Calibri" w:hAnsi="Calibri" w:cs="Calibri"/>
                <w:sz w:val="22"/>
                <w:szCs w:val="22"/>
              </w:rPr>
              <w:t>.</w:t>
            </w:r>
            <w:r w:rsidR="002A1C70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60E9BCBD" w14:textId="77777777" w:rsidR="00C50025" w:rsidRPr="004F32B7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0025" w:rsidRPr="004F32B7" w14:paraId="1AC1CBF9" w14:textId="77777777" w:rsidTr="00704A99">
        <w:tc>
          <w:tcPr>
            <w:tcW w:w="817" w:type="dxa"/>
          </w:tcPr>
          <w:p w14:paraId="0531E708" w14:textId="77777777" w:rsidR="00C50025" w:rsidRPr="004F32B7" w:rsidRDefault="00C50025" w:rsidP="00BB2CBF">
            <w:pPr>
              <w:spacing w:after="0" w:line="240" w:lineRule="auto"/>
              <w:rPr>
                <w:rFonts w:cs="Calibri"/>
              </w:rPr>
            </w:pPr>
            <w:r w:rsidRPr="004F32B7">
              <w:rPr>
                <w:rFonts w:cs="Calibri"/>
              </w:rPr>
              <w:t>3.2</w:t>
            </w:r>
          </w:p>
        </w:tc>
        <w:tc>
          <w:tcPr>
            <w:tcW w:w="3998" w:type="dxa"/>
          </w:tcPr>
          <w:p w14:paraId="40EA9777" w14:textId="77777777" w:rsidR="00C50025" w:rsidRDefault="002A1C70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Promoting effective communication between the Board, non-executive directors and executive directors in and outside of Board meetings</w:t>
            </w:r>
            <w:r w:rsidR="0013362D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6678D7D3" w14:textId="4CC1C68B" w:rsidR="00AB394D" w:rsidRPr="004F32B7" w:rsidRDefault="00AB394D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7" w:type="dxa"/>
          </w:tcPr>
          <w:p w14:paraId="10D06B1A" w14:textId="1CF97893" w:rsidR="00C50025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32B7">
              <w:rPr>
                <w:rFonts w:ascii="Calibri" w:hAnsi="Calibri" w:cs="Calibri"/>
                <w:sz w:val="22"/>
                <w:szCs w:val="22"/>
              </w:rPr>
              <w:t>Ensuring a</w:t>
            </w:r>
            <w:r w:rsidR="002A1C70">
              <w:rPr>
                <w:rFonts w:ascii="Calibri" w:hAnsi="Calibri" w:cs="Calibri"/>
                <w:sz w:val="22"/>
                <w:szCs w:val="22"/>
              </w:rPr>
              <w:t>n open and constructive</w:t>
            </w:r>
            <w:r w:rsidRPr="004F32B7">
              <w:rPr>
                <w:rFonts w:ascii="Calibri" w:hAnsi="Calibri" w:cs="Calibri"/>
                <w:sz w:val="22"/>
                <w:szCs w:val="22"/>
              </w:rPr>
              <w:t xml:space="preserve"> dialogue is maintained with the </w:t>
            </w:r>
            <w:r w:rsidR="00A466C3">
              <w:rPr>
                <w:rFonts w:ascii="Calibri" w:hAnsi="Calibri" w:cs="Calibri"/>
                <w:sz w:val="22"/>
                <w:szCs w:val="22"/>
              </w:rPr>
              <w:t>Chair</w:t>
            </w:r>
            <w:r w:rsidRPr="004F32B7">
              <w:rPr>
                <w:rFonts w:ascii="Calibri" w:hAnsi="Calibri" w:cs="Calibri"/>
                <w:sz w:val="22"/>
                <w:szCs w:val="22"/>
              </w:rPr>
              <w:t xml:space="preserve"> on the important and strategic issues facing the Company</w:t>
            </w:r>
            <w:r w:rsidR="00CA0FEA">
              <w:rPr>
                <w:rFonts w:ascii="Calibri" w:hAnsi="Calibri" w:cs="Calibri"/>
                <w:sz w:val="22"/>
                <w:szCs w:val="22"/>
              </w:rPr>
              <w:t>.</w:t>
            </w:r>
            <w:r w:rsidRPr="004F32B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73E43F5" w14:textId="153AEE30" w:rsidR="00704A99" w:rsidRPr="004F32B7" w:rsidRDefault="00704A99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0025" w:rsidRPr="004F32B7" w14:paraId="4158FEC7" w14:textId="77777777" w:rsidTr="00704A99">
        <w:tc>
          <w:tcPr>
            <w:tcW w:w="817" w:type="dxa"/>
          </w:tcPr>
          <w:p w14:paraId="17BACB41" w14:textId="77777777" w:rsidR="00C50025" w:rsidRPr="004F32B7" w:rsidRDefault="00C50025" w:rsidP="00BB2CBF">
            <w:pPr>
              <w:spacing w:after="0" w:line="240" w:lineRule="auto"/>
              <w:rPr>
                <w:rFonts w:cs="Calibri"/>
              </w:rPr>
            </w:pPr>
            <w:r w:rsidRPr="004F32B7">
              <w:rPr>
                <w:rFonts w:cs="Calibri"/>
              </w:rPr>
              <w:t>3.3</w:t>
            </w:r>
          </w:p>
        </w:tc>
        <w:tc>
          <w:tcPr>
            <w:tcW w:w="3998" w:type="dxa"/>
          </w:tcPr>
          <w:p w14:paraId="74142E23" w14:textId="12DFBEFA" w:rsidR="00C50025" w:rsidRPr="004F32B7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32B7">
              <w:rPr>
                <w:rFonts w:ascii="Calibri" w:hAnsi="Calibri" w:cs="Calibri"/>
                <w:sz w:val="22"/>
                <w:szCs w:val="22"/>
              </w:rPr>
              <w:t>Ensuring that the Board receives accurate, timely and clear information</w:t>
            </w:r>
            <w:r w:rsidR="002A1C70">
              <w:rPr>
                <w:rFonts w:ascii="Calibri" w:hAnsi="Calibri" w:cs="Calibri"/>
                <w:sz w:val="22"/>
                <w:szCs w:val="22"/>
              </w:rPr>
              <w:t>, working with the CEO and the Company Secr</w:t>
            </w:r>
            <w:r w:rsidR="00F2511C">
              <w:rPr>
                <w:rFonts w:ascii="Calibri" w:hAnsi="Calibri" w:cs="Calibri"/>
                <w:sz w:val="22"/>
                <w:szCs w:val="22"/>
              </w:rPr>
              <w:t>etary</w:t>
            </w:r>
            <w:r w:rsidRPr="004F32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2511C">
              <w:rPr>
                <w:rFonts w:ascii="Calibri" w:hAnsi="Calibri" w:cs="Calibri"/>
                <w:sz w:val="22"/>
                <w:szCs w:val="22"/>
              </w:rPr>
              <w:t xml:space="preserve">including in accordance with the Schedule </w:t>
            </w:r>
            <w:r w:rsidR="00F2511C">
              <w:rPr>
                <w:rFonts w:ascii="Calibri" w:hAnsi="Calibri" w:cs="Calibri"/>
                <w:sz w:val="22"/>
                <w:szCs w:val="22"/>
              </w:rPr>
              <w:lastRenderedPageBreak/>
              <w:t>of Matters Reserved to the Board for decision</w:t>
            </w:r>
            <w:r w:rsidR="0058757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07" w:type="dxa"/>
          </w:tcPr>
          <w:p w14:paraId="453AF764" w14:textId="77777777" w:rsidR="00C50025" w:rsidRPr="004F32B7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32B7">
              <w:rPr>
                <w:rFonts w:ascii="Calibri" w:hAnsi="Calibri" w:cs="Calibri"/>
                <w:sz w:val="22"/>
                <w:szCs w:val="22"/>
              </w:rPr>
              <w:lastRenderedPageBreak/>
              <w:t>Ensuring that the executive team gives appropriate priority to providing reports to the Board which contain accurate, timely and clear information</w:t>
            </w:r>
            <w:r w:rsidR="00F2511C">
              <w:rPr>
                <w:rFonts w:ascii="Calibri" w:hAnsi="Calibri" w:cs="Calibri"/>
                <w:sz w:val="22"/>
                <w:szCs w:val="22"/>
              </w:rPr>
              <w:t xml:space="preserve"> in accordance with agreed </w:t>
            </w:r>
            <w:r w:rsidR="00F2511C">
              <w:rPr>
                <w:rFonts w:ascii="Calibri" w:hAnsi="Calibri" w:cs="Calibri"/>
                <w:sz w:val="22"/>
                <w:szCs w:val="22"/>
              </w:rPr>
              <w:lastRenderedPageBreak/>
              <w:t>protocols</w:t>
            </w:r>
            <w:r w:rsidR="00F31EA1">
              <w:rPr>
                <w:rFonts w:ascii="Calibri" w:hAnsi="Calibri" w:cs="Calibri"/>
                <w:sz w:val="22"/>
                <w:szCs w:val="22"/>
              </w:rPr>
              <w:t xml:space="preserve"> and the schedule of matters reserved to the Board for decision</w:t>
            </w:r>
            <w:r w:rsidRPr="004F32B7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023188C7" w14:textId="77777777" w:rsidR="00C50025" w:rsidRPr="004F32B7" w:rsidRDefault="00C50025" w:rsidP="00AB394D">
            <w:pPr>
              <w:pStyle w:val="Defaul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50025" w:rsidRPr="004F32B7" w14:paraId="73644264" w14:textId="77777777" w:rsidTr="00704A99">
        <w:tc>
          <w:tcPr>
            <w:tcW w:w="817" w:type="dxa"/>
          </w:tcPr>
          <w:p w14:paraId="0E32F2E3" w14:textId="77777777" w:rsidR="00C50025" w:rsidRPr="004F32B7" w:rsidRDefault="00C50025" w:rsidP="00BB2CBF">
            <w:pPr>
              <w:spacing w:after="0" w:line="240" w:lineRule="auto"/>
              <w:rPr>
                <w:rFonts w:cs="Calibri"/>
              </w:rPr>
            </w:pPr>
            <w:r w:rsidRPr="004F32B7">
              <w:rPr>
                <w:rFonts w:cs="Calibri"/>
              </w:rPr>
              <w:lastRenderedPageBreak/>
              <w:t>3.</w:t>
            </w:r>
            <w:r w:rsidR="00F2511C">
              <w:rPr>
                <w:rFonts w:cs="Calibri"/>
              </w:rPr>
              <w:t>4</w:t>
            </w:r>
          </w:p>
        </w:tc>
        <w:tc>
          <w:tcPr>
            <w:tcW w:w="3998" w:type="dxa"/>
          </w:tcPr>
          <w:p w14:paraId="539CA9BB" w14:textId="288CEBAB" w:rsidR="00C50025" w:rsidRPr="004F32B7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32B7">
              <w:rPr>
                <w:rFonts w:ascii="Calibri" w:hAnsi="Calibri" w:cs="Calibri"/>
                <w:sz w:val="22"/>
                <w:szCs w:val="22"/>
              </w:rPr>
              <w:t>Arranging informal meetings of the directors, including meetings of the non-executive directors at which the executive directors are not present</w:t>
            </w:r>
            <w:r w:rsidR="00F2511C">
              <w:rPr>
                <w:rFonts w:ascii="Calibri" w:hAnsi="Calibri" w:cs="Calibri"/>
                <w:sz w:val="22"/>
                <w:szCs w:val="22"/>
              </w:rPr>
              <w:t>.</w:t>
            </w:r>
            <w:r w:rsidR="004C2EBD">
              <w:t xml:space="preserve"> </w:t>
            </w:r>
            <w:r w:rsidR="004C2EBD" w:rsidRPr="004C2EBD">
              <w:rPr>
                <w:rFonts w:ascii="Calibri" w:hAnsi="Calibri" w:cs="Calibri"/>
                <w:sz w:val="22"/>
                <w:szCs w:val="22"/>
              </w:rPr>
              <w:t>Ensuring an open and constructive dialogue between the executive and non-executive directors, promoting transparency and strong collaboration.</w:t>
            </w:r>
          </w:p>
          <w:p w14:paraId="3C285EC6" w14:textId="77777777" w:rsidR="00C50025" w:rsidRPr="004F32B7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7" w:type="dxa"/>
          </w:tcPr>
          <w:p w14:paraId="73C8A4B9" w14:textId="72F20D3F" w:rsidR="00C50025" w:rsidRPr="004F32B7" w:rsidRDefault="00E77E12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77E12">
              <w:rPr>
                <w:rFonts w:ascii="Calibri" w:hAnsi="Calibri" w:cs="Calibri"/>
                <w:sz w:val="22"/>
                <w:szCs w:val="22"/>
              </w:rPr>
              <w:t>Ensuring an open and constructive dialogue between the executive directors and in so doing promoting transparency and strong collaboration with the non-executive directors.</w:t>
            </w:r>
          </w:p>
        </w:tc>
      </w:tr>
      <w:tr w:rsidR="00C50025" w:rsidRPr="004F32B7" w14:paraId="09E77F39" w14:textId="77777777" w:rsidTr="00704A99">
        <w:tc>
          <w:tcPr>
            <w:tcW w:w="817" w:type="dxa"/>
          </w:tcPr>
          <w:p w14:paraId="6853F9D3" w14:textId="77777777" w:rsidR="00C50025" w:rsidRPr="004F32B7" w:rsidRDefault="00C50025" w:rsidP="00BB2CBF">
            <w:pPr>
              <w:spacing w:after="0" w:line="240" w:lineRule="auto"/>
              <w:rPr>
                <w:rFonts w:cs="Calibri"/>
              </w:rPr>
            </w:pPr>
            <w:r w:rsidRPr="004F32B7">
              <w:rPr>
                <w:rFonts w:cs="Calibri"/>
              </w:rPr>
              <w:t>3.</w:t>
            </w:r>
            <w:r w:rsidR="00220CDF">
              <w:rPr>
                <w:rFonts w:cs="Calibri"/>
              </w:rPr>
              <w:t>5</w:t>
            </w:r>
          </w:p>
        </w:tc>
        <w:tc>
          <w:tcPr>
            <w:tcW w:w="3998" w:type="dxa"/>
          </w:tcPr>
          <w:p w14:paraId="55BDE781" w14:textId="77777777" w:rsidR="00C50025" w:rsidRDefault="00220CDF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Seek</w:t>
            </w:r>
            <w:r w:rsidR="0058757A">
              <w:rPr>
                <w:rFonts w:ascii="Calibri" w:hAnsi="Calibri" w:cs="Calibri"/>
                <w:sz w:val="22"/>
                <w:szCs w:val="22"/>
              </w:rPr>
              <w:t>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regular engagement with major shareholders to understand their views on governance and performance against the strategy agreed by the Board and to ensure the Board has a clear understanding of the views of shareholders.</w:t>
            </w:r>
          </w:p>
          <w:p w14:paraId="78A40B76" w14:textId="02C18953" w:rsidR="00AB394D" w:rsidRPr="004F32B7" w:rsidRDefault="00AB394D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7" w:type="dxa"/>
          </w:tcPr>
          <w:p w14:paraId="485898B7" w14:textId="6D6348F2" w:rsidR="00C50025" w:rsidRPr="004F32B7" w:rsidRDefault="00220CDF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Engag</w:t>
            </w:r>
            <w:r w:rsidR="00CA0FEA">
              <w:rPr>
                <w:rFonts w:ascii="Calibri" w:hAnsi="Calibri" w:cs="Calibri"/>
                <w:sz w:val="22"/>
                <w:szCs w:val="22"/>
              </w:rPr>
              <w:t>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 constructive dialogue with shareholders following the issue of the half year and full year results or otherwise as agreed in discussion with the </w:t>
            </w:r>
            <w:r w:rsidR="00A466C3">
              <w:rPr>
                <w:rFonts w:ascii="Calibri" w:hAnsi="Calibri" w:cs="Calibri"/>
                <w:sz w:val="22"/>
                <w:szCs w:val="22"/>
              </w:rPr>
              <w:t>Chair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or as determined by the Board.</w:t>
            </w:r>
            <w:r w:rsidR="00C50025" w:rsidRPr="004F32B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A0FEA">
              <w:rPr>
                <w:rFonts w:ascii="Calibri" w:hAnsi="Calibri" w:cs="Calibri"/>
                <w:sz w:val="22"/>
                <w:szCs w:val="22"/>
              </w:rPr>
              <w:t xml:space="preserve">Also engaging in </w:t>
            </w:r>
            <w:r w:rsidR="00A33D99">
              <w:rPr>
                <w:rFonts w:ascii="Calibri" w:hAnsi="Calibri" w:cs="Calibri"/>
                <w:sz w:val="22"/>
                <w:szCs w:val="22"/>
              </w:rPr>
              <w:t>Regulatory stakeholder management.</w:t>
            </w:r>
          </w:p>
        </w:tc>
      </w:tr>
      <w:tr w:rsidR="00C50025" w:rsidRPr="004F32B7" w14:paraId="1BF741E0" w14:textId="77777777" w:rsidTr="00704A99">
        <w:tc>
          <w:tcPr>
            <w:tcW w:w="817" w:type="dxa"/>
          </w:tcPr>
          <w:p w14:paraId="11085FEA" w14:textId="77777777" w:rsidR="00C50025" w:rsidRPr="004F32B7" w:rsidRDefault="00C50025" w:rsidP="00BB2CBF">
            <w:pPr>
              <w:spacing w:after="0" w:line="240" w:lineRule="auto"/>
              <w:rPr>
                <w:rFonts w:cs="Calibri"/>
              </w:rPr>
            </w:pPr>
            <w:r w:rsidRPr="004F32B7">
              <w:rPr>
                <w:rFonts w:cs="Calibri"/>
              </w:rPr>
              <w:t>3.</w:t>
            </w:r>
            <w:r w:rsidR="00220CDF">
              <w:rPr>
                <w:rFonts w:cs="Calibri"/>
              </w:rPr>
              <w:t>6</w:t>
            </w:r>
          </w:p>
        </w:tc>
        <w:tc>
          <w:tcPr>
            <w:tcW w:w="3998" w:type="dxa"/>
          </w:tcPr>
          <w:p w14:paraId="09543BF3" w14:textId="307B8B7B" w:rsidR="00C50025" w:rsidRPr="004F32B7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32B7">
              <w:rPr>
                <w:rFonts w:ascii="Calibri" w:hAnsi="Calibri" w:cs="Calibri"/>
                <w:sz w:val="22"/>
                <w:szCs w:val="22"/>
              </w:rPr>
              <w:t xml:space="preserve">Taking the lead </w:t>
            </w:r>
            <w:r w:rsidR="00220CDF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Pr="004F32B7">
              <w:rPr>
                <w:rFonts w:ascii="Calibri" w:hAnsi="Calibri" w:cs="Calibri"/>
                <w:sz w:val="22"/>
                <w:szCs w:val="22"/>
              </w:rPr>
              <w:t xml:space="preserve">seeking to meet the development needs both of individual directors and of the Board as a whole, assisted by the </w:t>
            </w:r>
            <w:r w:rsidR="0058757A">
              <w:rPr>
                <w:rFonts w:ascii="Calibri" w:hAnsi="Calibri" w:cs="Calibri"/>
                <w:sz w:val="22"/>
                <w:szCs w:val="22"/>
              </w:rPr>
              <w:t>C</w:t>
            </w:r>
            <w:r w:rsidRPr="004F32B7">
              <w:rPr>
                <w:rFonts w:ascii="Calibri" w:hAnsi="Calibri" w:cs="Calibri"/>
                <w:sz w:val="22"/>
                <w:szCs w:val="22"/>
              </w:rPr>
              <w:t xml:space="preserve">ompany </w:t>
            </w:r>
            <w:r w:rsidR="0058757A">
              <w:rPr>
                <w:rFonts w:ascii="Calibri" w:hAnsi="Calibri" w:cs="Calibri"/>
                <w:sz w:val="22"/>
                <w:szCs w:val="22"/>
              </w:rPr>
              <w:t>S</w:t>
            </w:r>
            <w:r w:rsidRPr="004F32B7">
              <w:rPr>
                <w:rFonts w:ascii="Calibri" w:hAnsi="Calibri" w:cs="Calibri"/>
                <w:sz w:val="22"/>
                <w:szCs w:val="22"/>
              </w:rPr>
              <w:t xml:space="preserve">ecretary. </w:t>
            </w:r>
          </w:p>
          <w:p w14:paraId="7F8C85A2" w14:textId="77777777" w:rsidR="00C50025" w:rsidRPr="004F32B7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7" w:type="dxa"/>
          </w:tcPr>
          <w:p w14:paraId="4CEF8612" w14:textId="77777777" w:rsidR="00C50025" w:rsidRPr="004F32B7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32B7">
              <w:rPr>
                <w:rFonts w:ascii="Calibri" w:hAnsi="Calibri" w:cs="Calibri"/>
                <w:sz w:val="22"/>
                <w:szCs w:val="22"/>
              </w:rPr>
              <w:t xml:space="preserve">Ensuring that the development needs of senior management are identified and met. </w:t>
            </w:r>
          </w:p>
        </w:tc>
      </w:tr>
      <w:tr w:rsidR="00C50025" w:rsidRPr="004F32B7" w14:paraId="7E32EB5D" w14:textId="77777777" w:rsidTr="00704A99">
        <w:tc>
          <w:tcPr>
            <w:tcW w:w="817" w:type="dxa"/>
          </w:tcPr>
          <w:p w14:paraId="77A6DFF9" w14:textId="77777777" w:rsidR="00C50025" w:rsidRPr="004F32B7" w:rsidRDefault="00C50025" w:rsidP="00BB2CBF">
            <w:pPr>
              <w:spacing w:after="0" w:line="240" w:lineRule="auto"/>
              <w:rPr>
                <w:rFonts w:cs="Calibri"/>
              </w:rPr>
            </w:pPr>
            <w:r w:rsidRPr="004F32B7">
              <w:rPr>
                <w:rFonts w:cs="Calibri"/>
              </w:rPr>
              <w:t>3.</w:t>
            </w:r>
            <w:r w:rsidR="00220CDF">
              <w:rPr>
                <w:rFonts w:cs="Calibri"/>
              </w:rPr>
              <w:t>7</w:t>
            </w:r>
          </w:p>
          <w:p w14:paraId="57EB5D19" w14:textId="77777777" w:rsidR="00C50025" w:rsidRPr="004F32B7" w:rsidRDefault="00C50025" w:rsidP="00BB2CB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98" w:type="dxa"/>
          </w:tcPr>
          <w:p w14:paraId="7B5F7BD8" w14:textId="77777777" w:rsidR="00C50025" w:rsidRPr="004F32B7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32B7">
              <w:rPr>
                <w:rFonts w:ascii="Calibri" w:hAnsi="Calibri" w:cs="Calibri"/>
                <w:sz w:val="22"/>
                <w:szCs w:val="22"/>
              </w:rPr>
              <w:t>Ensuring that the performance of the Board as a whole, its Committees, and individual directors is formally and rigorously evaluated at least once a year</w:t>
            </w:r>
            <w:r w:rsidR="00F31EA1">
              <w:rPr>
                <w:rFonts w:ascii="Calibri" w:hAnsi="Calibri" w:cs="Calibri"/>
                <w:sz w:val="22"/>
                <w:szCs w:val="22"/>
              </w:rPr>
              <w:t xml:space="preserve">, acting </w:t>
            </w:r>
            <w:r w:rsidR="00DE1F15">
              <w:rPr>
                <w:rFonts w:ascii="Calibri" w:hAnsi="Calibri" w:cs="Calibri"/>
                <w:sz w:val="22"/>
                <w:szCs w:val="22"/>
              </w:rPr>
              <w:t>on the results of the evaluation by addressing any weaknesses identified.</w:t>
            </w:r>
          </w:p>
          <w:p w14:paraId="191EFFAA" w14:textId="77777777" w:rsidR="00C50025" w:rsidRPr="004F32B7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7" w:type="dxa"/>
          </w:tcPr>
          <w:p w14:paraId="5542C957" w14:textId="77777777" w:rsidR="00C50025" w:rsidRPr="004F32B7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32B7">
              <w:rPr>
                <w:rFonts w:ascii="Calibri" w:hAnsi="Calibri" w:cs="Calibri"/>
                <w:sz w:val="22"/>
                <w:szCs w:val="22"/>
              </w:rPr>
              <w:t xml:space="preserve">Providing input to the wider Board evaluation process. </w:t>
            </w:r>
          </w:p>
        </w:tc>
      </w:tr>
      <w:tr w:rsidR="00220CDF" w:rsidRPr="004F32B7" w14:paraId="1302B845" w14:textId="77777777" w:rsidTr="00704A99">
        <w:tc>
          <w:tcPr>
            <w:tcW w:w="817" w:type="dxa"/>
          </w:tcPr>
          <w:p w14:paraId="027C4A0C" w14:textId="77777777" w:rsidR="00220CDF" w:rsidRPr="004F32B7" w:rsidRDefault="00220CDF" w:rsidP="00BB2CB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3.8</w:t>
            </w:r>
          </w:p>
        </w:tc>
        <w:tc>
          <w:tcPr>
            <w:tcW w:w="3998" w:type="dxa"/>
          </w:tcPr>
          <w:p w14:paraId="75315A31" w14:textId="112ADA3C" w:rsidR="00220CDF" w:rsidRPr="004F32B7" w:rsidRDefault="00220CDF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Conduct annual performance evaluation</w:t>
            </w:r>
            <w:r w:rsidR="0058757A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 </w:t>
            </w:r>
            <w:r w:rsidR="0058757A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>
              <w:rPr>
                <w:rFonts w:ascii="Calibri" w:hAnsi="Calibri" w:cs="Calibri"/>
                <w:sz w:val="22"/>
                <w:szCs w:val="22"/>
              </w:rPr>
              <w:t>non-executive directors and the CEO</w:t>
            </w:r>
            <w:r w:rsidR="0058757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4507" w:type="dxa"/>
          </w:tcPr>
          <w:p w14:paraId="015DED9D" w14:textId="77777777" w:rsidR="00220CDF" w:rsidRDefault="00220CDF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0CDF">
              <w:rPr>
                <w:rFonts w:ascii="Calibri" w:hAnsi="Calibri" w:cs="Calibri"/>
                <w:sz w:val="22"/>
                <w:szCs w:val="22"/>
              </w:rPr>
              <w:t>Ensuring that performance reviews are carried out at least once a year for each of the executive directors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other direct reports</w:t>
            </w:r>
            <w:r w:rsidRPr="00220CDF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B714222" w14:textId="77777777" w:rsidR="00220CDF" w:rsidRPr="004F32B7" w:rsidRDefault="00220CDF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0025" w:rsidRPr="004F32B7" w14:paraId="20F7B408" w14:textId="77777777" w:rsidTr="00704A99">
        <w:tc>
          <w:tcPr>
            <w:tcW w:w="817" w:type="dxa"/>
          </w:tcPr>
          <w:p w14:paraId="6A63EA98" w14:textId="77777777" w:rsidR="00C50025" w:rsidRPr="004F32B7" w:rsidRDefault="00C50025" w:rsidP="00BB2CBF">
            <w:pPr>
              <w:spacing w:after="0" w:line="240" w:lineRule="auto"/>
              <w:rPr>
                <w:rFonts w:cs="Calibri"/>
              </w:rPr>
            </w:pPr>
            <w:r w:rsidRPr="004F32B7">
              <w:rPr>
                <w:rFonts w:cs="Calibri"/>
              </w:rPr>
              <w:t>3.</w:t>
            </w:r>
            <w:r w:rsidR="00220CDF">
              <w:rPr>
                <w:rFonts w:cs="Calibri"/>
              </w:rPr>
              <w:t>9</w:t>
            </w:r>
          </w:p>
          <w:p w14:paraId="162BC245" w14:textId="77777777" w:rsidR="00C50025" w:rsidRPr="004F32B7" w:rsidRDefault="00C50025" w:rsidP="00BB2CB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998" w:type="dxa"/>
          </w:tcPr>
          <w:p w14:paraId="27C88239" w14:textId="77777777" w:rsidR="00C50025" w:rsidRPr="004F32B7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32B7">
              <w:rPr>
                <w:rFonts w:ascii="Calibri" w:hAnsi="Calibri" w:cs="Calibri"/>
                <w:sz w:val="22"/>
                <w:szCs w:val="22"/>
              </w:rPr>
              <w:t>Promoting the highest standards of integrity, probity and corporate governance throughout the Company and particularly at Board level</w:t>
            </w:r>
            <w:r w:rsidR="00220CDF">
              <w:rPr>
                <w:rFonts w:ascii="Calibri" w:hAnsi="Calibri" w:cs="Calibri"/>
                <w:sz w:val="22"/>
                <w:szCs w:val="22"/>
              </w:rPr>
              <w:t>.</w:t>
            </w:r>
            <w:r w:rsidRPr="004F32B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2387E2D" w14:textId="77777777" w:rsidR="00C50025" w:rsidRPr="004F32B7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7" w:type="dxa"/>
          </w:tcPr>
          <w:p w14:paraId="1BADF2EE" w14:textId="77777777" w:rsidR="00C50025" w:rsidRDefault="00C50025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32B7">
              <w:rPr>
                <w:rFonts w:ascii="Calibri" w:hAnsi="Calibri" w:cs="Calibri"/>
                <w:sz w:val="22"/>
                <w:szCs w:val="22"/>
              </w:rPr>
              <w:t>Promoting, and conducting the affairs of the Company with the highest standards of integrity, probity and corporate governance.</w:t>
            </w:r>
            <w:r w:rsidR="00A33D99">
              <w:rPr>
                <w:rFonts w:ascii="Calibri" w:hAnsi="Calibri" w:cs="Calibri"/>
                <w:sz w:val="22"/>
                <w:szCs w:val="22"/>
              </w:rPr>
              <w:t xml:space="preserve">  Proposing the Group</w:t>
            </w:r>
            <w:r w:rsidR="00CA0FEA">
              <w:rPr>
                <w:rFonts w:ascii="Calibri" w:hAnsi="Calibri" w:cs="Calibri"/>
                <w:sz w:val="22"/>
                <w:szCs w:val="22"/>
              </w:rPr>
              <w:t>’</w:t>
            </w:r>
            <w:r w:rsidR="00A33D99">
              <w:rPr>
                <w:rFonts w:ascii="Calibri" w:hAnsi="Calibri" w:cs="Calibri"/>
                <w:sz w:val="22"/>
                <w:szCs w:val="22"/>
              </w:rPr>
              <w:t>s approach to vis</w:t>
            </w:r>
            <w:r w:rsidR="00F31EA1">
              <w:rPr>
                <w:rFonts w:ascii="Calibri" w:hAnsi="Calibri" w:cs="Calibri"/>
                <w:sz w:val="22"/>
                <w:szCs w:val="22"/>
              </w:rPr>
              <w:t>i</w:t>
            </w:r>
            <w:r w:rsidR="00A33D99">
              <w:rPr>
                <w:rFonts w:ascii="Calibri" w:hAnsi="Calibri" w:cs="Calibri"/>
                <w:sz w:val="22"/>
                <w:szCs w:val="22"/>
              </w:rPr>
              <w:t>on, values, culture</w:t>
            </w:r>
            <w:r w:rsidR="00F31EA1">
              <w:rPr>
                <w:rFonts w:ascii="Calibri" w:hAnsi="Calibri" w:cs="Calibri"/>
                <w:sz w:val="22"/>
                <w:szCs w:val="22"/>
              </w:rPr>
              <w:t>,</w:t>
            </w:r>
            <w:r w:rsidR="00A33D99">
              <w:rPr>
                <w:rFonts w:ascii="Calibri" w:hAnsi="Calibri" w:cs="Calibri"/>
                <w:sz w:val="22"/>
                <w:szCs w:val="22"/>
              </w:rPr>
              <w:t xml:space="preserve"> diversity</w:t>
            </w:r>
            <w:r w:rsidR="00F31EA1">
              <w:rPr>
                <w:rFonts w:ascii="Calibri" w:hAnsi="Calibri" w:cs="Calibri"/>
                <w:sz w:val="22"/>
                <w:szCs w:val="22"/>
              </w:rPr>
              <w:t xml:space="preserve"> and inclusion</w:t>
            </w:r>
            <w:r w:rsidR="00CA0FEA">
              <w:rPr>
                <w:rFonts w:ascii="Calibri" w:hAnsi="Calibri" w:cs="Calibri"/>
                <w:sz w:val="22"/>
                <w:szCs w:val="22"/>
              </w:rPr>
              <w:t>.</w:t>
            </w:r>
            <w:r w:rsidR="00F31EA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C4D6A66" w14:textId="71671C1A" w:rsidR="00AB394D" w:rsidRPr="004F32B7" w:rsidRDefault="00AB394D" w:rsidP="00AB394D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9C25CBD" w14:textId="6794461A" w:rsidR="009806E2" w:rsidRDefault="00971AFC"/>
    <w:p w14:paraId="3E523C0C" w14:textId="73D661B6" w:rsidR="003020BD" w:rsidRPr="003020BD" w:rsidRDefault="003020BD" w:rsidP="003020BD"/>
    <w:p w14:paraId="026F7CA8" w14:textId="0A0DDE20" w:rsidR="003020BD" w:rsidRDefault="003020BD" w:rsidP="003020BD"/>
    <w:p w14:paraId="510F21BB" w14:textId="4C8DE4EE" w:rsidR="003020BD" w:rsidRPr="003020BD" w:rsidRDefault="003020BD" w:rsidP="000D13AE">
      <w:pPr>
        <w:tabs>
          <w:tab w:val="left" w:pos="1383"/>
        </w:tabs>
      </w:pPr>
      <w:r>
        <w:tab/>
      </w:r>
    </w:p>
    <w:sectPr w:rsidR="003020BD" w:rsidRPr="003020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52CF3" w14:textId="77777777" w:rsidR="00C53E55" w:rsidRDefault="00C53E55" w:rsidP="000B119F">
      <w:pPr>
        <w:spacing w:after="0" w:line="240" w:lineRule="auto"/>
      </w:pPr>
      <w:r>
        <w:separator/>
      </w:r>
    </w:p>
  </w:endnote>
  <w:endnote w:type="continuationSeparator" w:id="0">
    <w:p w14:paraId="04F7C582" w14:textId="77777777" w:rsidR="00C53E55" w:rsidRDefault="00C53E55" w:rsidP="000B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CA028" w14:textId="7488BDE9" w:rsidR="00926749" w:rsidRDefault="00971AFC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3CEA9B57" wp14:editId="5D548B4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875"/>
              <wp:wrapSquare wrapText="bothSides"/>
              <wp:docPr id="3" name="Text Box 3" descr="External Communication - Disclose with car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46502" w14:textId="1713C30A" w:rsidR="00971AFC" w:rsidRPr="00971AFC" w:rsidRDefault="00971AFC">
                          <w:pP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971AFC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>External Communication - Disclose with care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A9B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External Communication - Disclose with care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0A346502" w14:textId="1713C30A" w:rsidR="00971AFC" w:rsidRPr="00971AFC" w:rsidRDefault="00971AFC">
                    <w:pPr>
                      <w:rPr>
                        <w:rFonts w:cs="Calibri"/>
                        <w:color w:val="000000"/>
                        <w:sz w:val="16"/>
                        <w:szCs w:val="16"/>
                      </w:rPr>
                    </w:pPr>
                    <w:r w:rsidRPr="00971AFC">
                      <w:rPr>
                        <w:rFonts w:cs="Calibri"/>
                        <w:color w:val="000000"/>
                        <w:sz w:val="16"/>
                        <w:szCs w:val="16"/>
                      </w:rPr>
                      <w:t>External Communication - Disclose with care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F68C" w14:textId="64C8FCEA" w:rsidR="00C15EF2" w:rsidRDefault="00971AFC">
    <w:pPr>
      <w:pStyle w:val="Footer"/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0D9B945F" wp14:editId="018BD1C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875"/>
              <wp:wrapSquare wrapText="bothSides"/>
              <wp:docPr id="4" name="Text Box 4" descr="External Communication - Disclose with car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5E85BB" w14:textId="1C3D1C65" w:rsidR="00971AFC" w:rsidRPr="00971AFC" w:rsidRDefault="00971AFC">
                          <w:pP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971AFC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>External Communication - Disclose with care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9B94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External Communication - Disclose with care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35E85BB" w14:textId="1C3D1C65" w:rsidR="00971AFC" w:rsidRPr="00971AFC" w:rsidRDefault="00971AFC">
                    <w:pPr>
                      <w:rPr>
                        <w:rFonts w:cs="Calibri"/>
                        <w:color w:val="000000"/>
                        <w:sz w:val="16"/>
                        <w:szCs w:val="16"/>
                      </w:rPr>
                    </w:pPr>
                    <w:r w:rsidRPr="00971AFC">
                      <w:rPr>
                        <w:rFonts w:cs="Calibri"/>
                        <w:color w:val="000000"/>
                        <w:sz w:val="16"/>
                        <w:szCs w:val="16"/>
                      </w:rPr>
                      <w:t>External Communication - Disclose with care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020BD">
      <w:t>Approved: May 2023</w:t>
    </w:r>
    <w:r w:rsidR="00230146">
      <w:t xml:space="preserve"> </w:t>
    </w:r>
  </w:p>
  <w:p w14:paraId="7D93D3C7" w14:textId="44F27D4E" w:rsidR="000B119F" w:rsidRDefault="000B11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7C76" w14:textId="0BA0CDA8" w:rsidR="00926749" w:rsidRDefault="00971AFC">
    <w:pPr>
      <w:pStyle w:val="Foot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32FE5191" wp14:editId="2C8E4E8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5875"/>
              <wp:wrapSquare wrapText="bothSides"/>
              <wp:docPr id="1" name="Text Box 1" descr="External Communication - Disclose with car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3F588" w14:textId="0B9F55A6" w:rsidR="00971AFC" w:rsidRPr="00971AFC" w:rsidRDefault="00971AFC">
                          <w:pPr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971AFC">
                            <w:rPr>
                              <w:rFonts w:cs="Calibri"/>
                              <w:color w:val="000000"/>
                              <w:sz w:val="16"/>
                              <w:szCs w:val="16"/>
                            </w:rPr>
                            <w:t>External Communication - Disclose with care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E51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External Communication - Disclose with care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5073F588" w14:textId="0B9F55A6" w:rsidR="00971AFC" w:rsidRPr="00971AFC" w:rsidRDefault="00971AFC">
                    <w:pPr>
                      <w:rPr>
                        <w:rFonts w:cs="Calibri"/>
                        <w:color w:val="000000"/>
                        <w:sz w:val="16"/>
                        <w:szCs w:val="16"/>
                      </w:rPr>
                    </w:pPr>
                    <w:r w:rsidRPr="00971AFC">
                      <w:rPr>
                        <w:rFonts w:cs="Calibri"/>
                        <w:color w:val="000000"/>
                        <w:sz w:val="16"/>
                        <w:szCs w:val="16"/>
                      </w:rPr>
                      <w:t>External Communication - Disclose with care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0483" w14:textId="77777777" w:rsidR="00C53E55" w:rsidRDefault="00C53E55" w:rsidP="000B119F">
      <w:pPr>
        <w:spacing w:after="0" w:line="240" w:lineRule="auto"/>
      </w:pPr>
      <w:r>
        <w:separator/>
      </w:r>
    </w:p>
  </w:footnote>
  <w:footnote w:type="continuationSeparator" w:id="0">
    <w:p w14:paraId="7FB6E56E" w14:textId="77777777" w:rsidR="00C53E55" w:rsidRDefault="00C53E55" w:rsidP="000B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507CB" w14:textId="77777777" w:rsidR="00926749" w:rsidRDefault="009267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1CD5" w14:textId="25AD1D74" w:rsidR="003020BD" w:rsidRDefault="003020BD" w:rsidP="003020BD">
    <w:pPr>
      <w:pStyle w:val="Header"/>
      <w:jc w:val="right"/>
    </w:pPr>
    <w:r>
      <w:t>IG Group Holdings plc (</w:t>
    </w:r>
    <w:r w:rsidRPr="003020BD">
      <w:t>04677092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DC9D" w14:textId="77777777" w:rsidR="00926749" w:rsidRDefault="009267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25"/>
    <w:rsid w:val="000114CE"/>
    <w:rsid w:val="0005758D"/>
    <w:rsid w:val="0006459F"/>
    <w:rsid w:val="000B119F"/>
    <w:rsid w:val="000D13AE"/>
    <w:rsid w:val="0013362D"/>
    <w:rsid w:val="001F4638"/>
    <w:rsid w:val="00220CDF"/>
    <w:rsid w:val="00230146"/>
    <w:rsid w:val="0029631E"/>
    <w:rsid w:val="002A1C70"/>
    <w:rsid w:val="002B29F1"/>
    <w:rsid w:val="002D22D6"/>
    <w:rsid w:val="003020BD"/>
    <w:rsid w:val="003D29B0"/>
    <w:rsid w:val="003D5491"/>
    <w:rsid w:val="003E6135"/>
    <w:rsid w:val="004C2EBD"/>
    <w:rsid w:val="00513C8D"/>
    <w:rsid w:val="00525E65"/>
    <w:rsid w:val="005533D0"/>
    <w:rsid w:val="0058757A"/>
    <w:rsid w:val="006416CB"/>
    <w:rsid w:val="006835B9"/>
    <w:rsid w:val="006B426D"/>
    <w:rsid w:val="006F631E"/>
    <w:rsid w:val="00704A99"/>
    <w:rsid w:val="00782B5E"/>
    <w:rsid w:val="00926749"/>
    <w:rsid w:val="00945D04"/>
    <w:rsid w:val="00971AFC"/>
    <w:rsid w:val="00972FDD"/>
    <w:rsid w:val="00981AC4"/>
    <w:rsid w:val="00A33D99"/>
    <w:rsid w:val="00A466C3"/>
    <w:rsid w:val="00A85359"/>
    <w:rsid w:val="00A92D99"/>
    <w:rsid w:val="00AB394D"/>
    <w:rsid w:val="00B0237B"/>
    <w:rsid w:val="00B81341"/>
    <w:rsid w:val="00B94203"/>
    <w:rsid w:val="00C07F34"/>
    <w:rsid w:val="00C15EF2"/>
    <w:rsid w:val="00C50025"/>
    <w:rsid w:val="00C53E55"/>
    <w:rsid w:val="00CA0FEA"/>
    <w:rsid w:val="00D1320A"/>
    <w:rsid w:val="00D23F34"/>
    <w:rsid w:val="00D632EB"/>
    <w:rsid w:val="00D65FE5"/>
    <w:rsid w:val="00DE1F15"/>
    <w:rsid w:val="00E01058"/>
    <w:rsid w:val="00E52931"/>
    <w:rsid w:val="00E77E12"/>
    <w:rsid w:val="00ED629F"/>
    <w:rsid w:val="00EE2D66"/>
    <w:rsid w:val="00EF48FC"/>
    <w:rsid w:val="00F207D7"/>
    <w:rsid w:val="00F2511C"/>
    <w:rsid w:val="00F31EA1"/>
    <w:rsid w:val="00FD77AA"/>
    <w:rsid w:val="00FE35C9"/>
    <w:rsid w:val="00FE6815"/>
    <w:rsid w:val="00FF2437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CCA508"/>
  <w15:chartTrackingRefBased/>
  <w15:docId w15:val="{973CEF9E-9A2B-4EDB-B64D-F486C326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025"/>
    <w:pPr>
      <w:spacing w:after="200" w:line="276" w:lineRule="auto"/>
    </w:pPr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002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B1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19F"/>
    <w:rPr>
      <w:rFonts w:ascii="Calibri" w:eastAsia="Calibri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0B1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19F"/>
    <w:rPr>
      <w:rFonts w:ascii="Calibri" w:eastAsia="Calibri" w:hAnsi="Calibri" w:cs="Times New Roman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E01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058"/>
    <w:rPr>
      <w:rFonts w:ascii="Calibri" w:eastAsia="Calibri" w:hAnsi="Calibri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058"/>
    <w:rPr>
      <w:rFonts w:ascii="Calibri" w:eastAsia="Calibri" w:hAnsi="Calibri" w:cs="Times New Roman"/>
      <w:b/>
      <w:bCs/>
      <w:noProof/>
      <w:sz w:val="20"/>
      <w:szCs w:val="20"/>
    </w:rPr>
  </w:style>
  <w:style w:type="paragraph" w:styleId="Revision">
    <w:name w:val="Revision"/>
    <w:hidden/>
    <w:uiPriority w:val="99"/>
    <w:semiHidden/>
    <w:rsid w:val="00E01058"/>
    <w:pPr>
      <w:spacing w:after="0" w:line="240" w:lineRule="auto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eea2b8-7b6b-4320-a2d4-c4f1f8632c99">
      <Terms xmlns="http://schemas.microsoft.com/office/infopath/2007/PartnerControls"/>
    </lcf76f155ced4ddcb4097134ff3c332f>
    <TaxCatchAll xmlns="2c895cb1-cc58-483e-86ff-96e45a974e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1EE74BA868B48B2675960B23E3BF5" ma:contentTypeVersion="12" ma:contentTypeDescription="Create a new document." ma:contentTypeScope="" ma:versionID="3f6c9f54c6a1746a67514278972cfb93">
  <xsd:schema xmlns:xsd="http://www.w3.org/2001/XMLSchema" xmlns:xs="http://www.w3.org/2001/XMLSchema" xmlns:p="http://schemas.microsoft.com/office/2006/metadata/properties" xmlns:ns2="88eea2b8-7b6b-4320-a2d4-c4f1f8632c99" xmlns:ns3="2c895cb1-cc58-483e-86ff-96e45a974e3b" targetNamespace="http://schemas.microsoft.com/office/2006/metadata/properties" ma:root="true" ma:fieldsID="82390be5e49db8f1e8d848bd67f76182" ns2:_="" ns3:_="">
    <xsd:import namespace="88eea2b8-7b6b-4320-a2d4-c4f1f8632c99"/>
    <xsd:import namespace="2c895cb1-cc58-483e-86ff-96e45a974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a2b8-7b6b-4320-a2d4-c4f1f8632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6f7b00-301e-4c89-b186-a05e1e58f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95cb1-cc58-483e-86ff-96e45a974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1308d8-55fe-4a89-a2db-d13907434f68}" ma:internalName="TaxCatchAll" ma:showField="CatchAllData" ma:web="2c895cb1-cc58-483e-86ff-96e45a974e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D0F9-FD13-4CAE-B76F-9FF9FA928CCF}">
  <ds:schemaRefs>
    <ds:schemaRef ds:uri="88eea2b8-7b6b-4320-a2d4-c4f1f8632c9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c895cb1-cc58-483e-86ff-96e45a974e3b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01484B-44A3-4AD1-BF99-45C1B4FCD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758684-B7D3-4FAC-9617-46082F187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a2b8-7b6b-4320-a2d4-c4f1f8632c99"/>
    <ds:schemaRef ds:uri="2c895cb1-cc58-483e-86ff-96e45a974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3D0178-3145-4FEF-A0D6-DA98B99ECEA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c23c8ad-7280-4a1e-af5c-861e5103f5ae}" enabled="1" method="Privileged" siteId="{4b4cca9c-edaf-42f3-8e21-9070c5d9d76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Goodwin</dc:creator>
  <cp:keywords/>
  <dc:description/>
  <cp:lastModifiedBy>Susan Woodlands</cp:lastModifiedBy>
  <cp:revision>2</cp:revision>
  <dcterms:created xsi:type="dcterms:W3CDTF">2023-05-25T16:43:00Z</dcterms:created>
  <dcterms:modified xsi:type="dcterms:W3CDTF">2023-05-25T16:43:00Z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8d5eb8-2d34-4728-91b4-c69a1e01a91b_Enabled">
    <vt:lpwstr>true</vt:lpwstr>
  </property>
  <property fmtid="{D5CDD505-2E9C-101B-9397-08002B2CF9AE}" pid="3" name="MSIP_Label_9d8d5eb8-2d34-4728-91b4-c69a1e01a91b_SetDate">
    <vt:lpwstr>2023-04-30T18:13:30Z</vt:lpwstr>
  </property>
  <property fmtid="{D5CDD505-2E9C-101B-9397-08002B2CF9AE}" pid="4" name="MSIP_Label_9d8d5eb8-2d34-4728-91b4-c69a1e01a91b_Method">
    <vt:lpwstr>Privileged</vt:lpwstr>
  </property>
  <property fmtid="{D5CDD505-2E9C-101B-9397-08002B2CF9AE}" pid="5" name="MSIP_Label_9d8d5eb8-2d34-4728-91b4-c69a1e01a91b_Name">
    <vt:lpwstr>C1 Public Content</vt:lpwstr>
  </property>
  <property fmtid="{D5CDD505-2E9C-101B-9397-08002B2CF9AE}" pid="6" name="MSIP_Label_9d8d5eb8-2d34-4728-91b4-c69a1e01a91b_SiteId">
    <vt:lpwstr>4b4cca9c-edaf-42f3-8e21-9070c5d9d76b</vt:lpwstr>
  </property>
  <property fmtid="{D5CDD505-2E9C-101B-9397-08002B2CF9AE}" pid="7" name="MSIP_Label_9d8d5eb8-2d34-4728-91b4-c69a1e01a91b_ActionId">
    <vt:lpwstr>f5aca211-a772-47ce-92e5-fcb38e13388e</vt:lpwstr>
  </property>
  <property fmtid="{D5CDD505-2E9C-101B-9397-08002B2CF9AE}" pid="8" name="MSIP_Label_9d8d5eb8-2d34-4728-91b4-c69a1e01a91b_ContentBits">
    <vt:lpwstr>0</vt:lpwstr>
  </property>
  <property fmtid="{D5CDD505-2E9C-101B-9397-08002B2CF9AE}" pid="9" name="ContentTypeId">
    <vt:lpwstr>0x0101006751EE74BA868B48B2675960B23E3BF5</vt:lpwstr>
  </property>
  <property fmtid="{D5CDD505-2E9C-101B-9397-08002B2CF9AE}" pid="10" name="MediaServiceImageTags">
    <vt:lpwstr/>
  </property>
  <property fmtid="{D5CDD505-2E9C-101B-9397-08002B2CF9AE}" pid="11" name="ClassificationContentMarkingFooterShapeIds">
    <vt:lpwstr>1,3,4</vt:lpwstr>
  </property>
  <property fmtid="{D5CDD505-2E9C-101B-9397-08002B2CF9AE}" pid="12" name="ClassificationContentMarkingFooterFontProps">
    <vt:lpwstr>#000000,8,Calibri</vt:lpwstr>
  </property>
  <property fmtid="{D5CDD505-2E9C-101B-9397-08002B2CF9AE}" pid="13" name="ClassificationContentMarkingFooterText">
    <vt:lpwstr>External Communication - Disclose with care</vt:lpwstr>
  </property>
</Properties>
</file>