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DBBF" w14:textId="09F88C83" w:rsidR="00590406" w:rsidRDefault="00590406" w:rsidP="003601E9">
      <w:pPr>
        <w:spacing w:before="2"/>
        <w:rPr>
          <w:rFonts w:ascii="Arial" w:hAnsi="Arial" w:cs="Arial"/>
          <w:b/>
          <w:bCs/>
          <w:sz w:val="36"/>
          <w:szCs w:val="36"/>
        </w:rPr>
      </w:pPr>
    </w:p>
    <w:p w14:paraId="709D1B1C" w14:textId="4769CEA8" w:rsidR="00193B85" w:rsidRPr="006762D8" w:rsidRDefault="00D96639" w:rsidP="00BC5DC3">
      <w:pPr>
        <w:spacing w:before="2"/>
        <w:rPr>
          <w:rFonts w:ascii="Arial" w:hAnsi="Arial" w:cs="Arial"/>
          <w:b/>
          <w:sz w:val="36"/>
          <w:szCs w:val="20"/>
        </w:rPr>
      </w:pPr>
      <w:r w:rsidRPr="006762D8">
        <w:rPr>
          <w:rFonts w:ascii="Arial" w:hAnsi="Arial" w:cs="Arial"/>
          <w:b/>
          <w:sz w:val="36"/>
          <w:szCs w:val="20"/>
        </w:rPr>
        <w:t>Remuneration Committee Terms of Reference</w:t>
      </w:r>
    </w:p>
    <w:p w14:paraId="787D8521" w14:textId="77777777" w:rsidR="00D667D4" w:rsidRDefault="00D667D4" w:rsidP="003601E9">
      <w:pPr>
        <w:pStyle w:val="BodyText"/>
        <w:spacing w:before="120"/>
        <w:jc w:val="both"/>
        <w:rPr>
          <w:rFonts w:ascii="Arial" w:hAnsi="Arial" w:cs="Arial"/>
        </w:rPr>
      </w:pPr>
    </w:p>
    <w:p w14:paraId="090FD2B0" w14:textId="77777777" w:rsidR="004D3C48" w:rsidRPr="006762D8" w:rsidRDefault="004D3C48" w:rsidP="003601E9">
      <w:pPr>
        <w:pStyle w:val="BodyText"/>
        <w:ind w:right="241"/>
        <w:jc w:val="both"/>
        <w:rPr>
          <w:rFonts w:ascii="Arial" w:hAnsi="Arial" w:cs="Arial"/>
        </w:rPr>
      </w:pPr>
      <w:r w:rsidRPr="006762D8">
        <w:rPr>
          <w:rFonts w:ascii="Arial" w:hAnsi="Arial" w:cs="Arial"/>
        </w:rPr>
        <w:t>The</w:t>
      </w:r>
      <w:r w:rsidRPr="006762D8">
        <w:rPr>
          <w:rFonts w:ascii="Arial" w:hAnsi="Arial" w:cs="Arial"/>
          <w:spacing w:val="-4"/>
        </w:rPr>
        <w:t xml:space="preserve"> </w:t>
      </w:r>
      <w:r w:rsidRPr="006762D8">
        <w:rPr>
          <w:rFonts w:ascii="Arial" w:hAnsi="Arial" w:cs="Arial"/>
        </w:rPr>
        <w:t>Committee</w:t>
      </w:r>
      <w:r w:rsidRPr="006762D8">
        <w:rPr>
          <w:rFonts w:ascii="Arial" w:hAnsi="Arial" w:cs="Arial"/>
          <w:spacing w:val="-7"/>
        </w:rPr>
        <w:t xml:space="preserve"> </w:t>
      </w:r>
      <w:r w:rsidRPr="006762D8">
        <w:rPr>
          <w:rFonts w:ascii="Arial" w:hAnsi="Arial" w:cs="Arial"/>
        </w:rPr>
        <w:t>is</w:t>
      </w:r>
      <w:r w:rsidRPr="006762D8">
        <w:rPr>
          <w:rFonts w:ascii="Arial" w:hAnsi="Arial" w:cs="Arial"/>
          <w:spacing w:val="-4"/>
        </w:rPr>
        <w:t xml:space="preserve"> </w:t>
      </w:r>
      <w:r w:rsidRPr="006762D8">
        <w:rPr>
          <w:rFonts w:ascii="Arial" w:hAnsi="Arial" w:cs="Arial"/>
        </w:rPr>
        <w:t>a</w:t>
      </w:r>
      <w:r w:rsidRPr="006762D8">
        <w:rPr>
          <w:rFonts w:ascii="Arial" w:hAnsi="Arial" w:cs="Arial"/>
          <w:spacing w:val="-7"/>
        </w:rPr>
        <w:t xml:space="preserve"> </w:t>
      </w:r>
      <w:r w:rsidRPr="006762D8">
        <w:rPr>
          <w:rFonts w:ascii="Arial" w:hAnsi="Arial" w:cs="Arial"/>
        </w:rPr>
        <w:t>Committee</w:t>
      </w:r>
      <w:r w:rsidRPr="006762D8">
        <w:rPr>
          <w:rFonts w:ascii="Arial" w:hAnsi="Arial" w:cs="Arial"/>
          <w:spacing w:val="-4"/>
        </w:rPr>
        <w:t xml:space="preserve"> </w:t>
      </w:r>
      <w:r w:rsidRPr="006762D8">
        <w:rPr>
          <w:rFonts w:ascii="Arial" w:hAnsi="Arial" w:cs="Arial"/>
        </w:rPr>
        <w:t>of</w:t>
      </w:r>
      <w:r w:rsidRPr="006762D8">
        <w:rPr>
          <w:rFonts w:ascii="Arial" w:hAnsi="Arial" w:cs="Arial"/>
          <w:spacing w:val="-5"/>
        </w:rPr>
        <w:t xml:space="preserve"> </w:t>
      </w:r>
      <w:r w:rsidRPr="006762D8">
        <w:rPr>
          <w:rFonts w:ascii="Arial" w:hAnsi="Arial" w:cs="Arial"/>
        </w:rPr>
        <w:t>the</w:t>
      </w:r>
      <w:r w:rsidRPr="006762D8">
        <w:rPr>
          <w:rFonts w:ascii="Arial" w:hAnsi="Arial" w:cs="Arial"/>
          <w:spacing w:val="-3"/>
        </w:rPr>
        <w:t xml:space="preserve"> </w:t>
      </w:r>
      <w:r w:rsidRPr="006762D8">
        <w:rPr>
          <w:rFonts w:ascii="Arial" w:hAnsi="Arial" w:cs="Arial"/>
        </w:rPr>
        <w:t>Board</w:t>
      </w:r>
      <w:r w:rsidRPr="006762D8">
        <w:rPr>
          <w:rFonts w:ascii="Arial" w:hAnsi="Arial" w:cs="Arial"/>
          <w:spacing w:val="-5"/>
        </w:rPr>
        <w:t xml:space="preserve"> </w:t>
      </w:r>
      <w:r w:rsidRPr="006762D8">
        <w:rPr>
          <w:rFonts w:ascii="Arial" w:hAnsi="Arial" w:cs="Arial"/>
        </w:rPr>
        <w:t>from</w:t>
      </w:r>
      <w:r w:rsidRPr="006762D8">
        <w:rPr>
          <w:rFonts w:ascii="Arial" w:hAnsi="Arial" w:cs="Arial"/>
          <w:spacing w:val="-6"/>
        </w:rPr>
        <w:t xml:space="preserve"> </w:t>
      </w:r>
      <w:r w:rsidRPr="006762D8">
        <w:rPr>
          <w:rFonts w:ascii="Arial" w:hAnsi="Arial" w:cs="Arial"/>
        </w:rPr>
        <w:t>which</w:t>
      </w:r>
      <w:r w:rsidRPr="006762D8">
        <w:rPr>
          <w:rFonts w:ascii="Arial" w:hAnsi="Arial" w:cs="Arial"/>
          <w:spacing w:val="-5"/>
        </w:rPr>
        <w:t xml:space="preserve"> </w:t>
      </w:r>
      <w:r w:rsidRPr="006762D8">
        <w:rPr>
          <w:rFonts w:ascii="Arial" w:hAnsi="Arial" w:cs="Arial"/>
        </w:rPr>
        <w:t>it</w:t>
      </w:r>
      <w:r w:rsidRPr="006762D8">
        <w:rPr>
          <w:rFonts w:ascii="Arial" w:hAnsi="Arial" w:cs="Arial"/>
          <w:spacing w:val="-5"/>
        </w:rPr>
        <w:t xml:space="preserve"> </w:t>
      </w:r>
      <w:r w:rsidRPr="006762D8">
        <w:rPr>
          <w:rFonts w:ascii="Arial" w:hAnsi="Arial" w:cs="Arial"/>
        </w:rPr>
        <w:t>derives</w:t>
      </w:r>
      <w:r w:rsidRPr="006762D8">
        <w:rPr>
          <w:rFonts w:ascii="Arial" w:hAnsi="Arial" w:cs="Arial"/>
          <w:spacing w:val="-4"/>
        </w:rPr>
        <w:t xml:space="preserve"> </w:t>
      </w:r>
      <w:r w:rsidRPr="006762D8">
        <w:rPr>
          <w:rFonts w:ascii="Arial" w:hAnsi="Arial" w:cs="Arial"/>
        </w:rPr>
        <w:t>its</w:t>
      </w:r>
      <w:r w:rsidRPr="006762D8">
        <w:rPr>
          <w:rFonts w:ascii="Arial" w:hAnsi="Arial" w:cs="Arial"/>
          <w:spacing w:val="-4"/>
        </w:rPr>
        <w:t xml:space="preserve"> </w:t>
      </w:r>
      <w:r w:rsidRPr="006762D8">
        <w:rPr>
          <w:rFonts w:ascii="Arial" w:hAnsi="Arial" w:cs="Arial"/>
        </w:rPr>
        <w:t>authority</w:t>
      </w:r>
      <w:r w:rsidRPr="006762D8">
        <w:rPr>
          <w:rFonts w:ascii="Arial" w:hAnsi="Arial" w:cs="Arial"/>
          <w:spacing w:val="-5"/>
        </w:rPr>
        <w:t xml:space="preserve"> </w:t>
      </w:r>
      <w:r w:rsidRPr="006762D8">
        <w:rPr>
          <w:rFonts w:ascii="Arial" w:hAnsi="Arial" w:cs="Arial"/>
        </w:rPr>
        <w:t>and</w:t>
      </w:r>
      <w:r w:rsidRPr="006762D8">
        <w:rPr>
          <w:rFonts w:ascii="Arial" w:hAnsi="Arial" w:cs="Arial"/>
          <w:spacing w:val="-5"/>
        </w:rPr>
        <w:t xml:space="preserve"> </w:t>
      </w:r>
      <w:r w:rsidRPr="006762D8">
        <w:rPr>
          <w:rFonts w:ascii="Arial" w:hAnsi="Arial" w:cs="Arial"/>
        </w:rPr>
        <w:t>to</w:t>
      </w:r>
      <w:r w:rsidRPr="006762D8">
        <w:rPr>
          <w:rFonts w:ascii="Arial" w:hAnsi="Arial" w:cs="Arial"/>
          <w:spacing w:val="-1"/>
        </w:rPr>
        <w:t xml:space="preserve"> </w:t>
      </w:r>
      <w:r w:rsidRPr="006762D8">
        <w:rPr>
          <w:rFonts w:ascii="Arial" w:hAnsi="Arial" w:cs="Arial"/>
        </w:rPr>
        <w:t xml:space="preserve">which it regularly reports. </w:t>
      </w:r>
    </w:p>
    <w:p w14:paraId="51177D6F" w14:textId="77777777" w:rsidR="003A39B7" w:rsidRDefault="00B90F26" w:rsidP="00FB4463">
      <w:pPr>
        <w:pStyle w:val="BodyText"/>
        <w:spacing w:before="150"/>
        <w:ind w:right="241"/>
        <w:jc w:val="both"/>
        <w:rPr>
          <w:rFonts w:ascii="Arial" w:hAnsi="Arial" w:cs="Arial"/>
        </w:rPr>
      </w:pPr>
      <w:r>
        <w:rPr>
          <w:rFonts w:ascii="Arial" w:hAnsi="Arial" w:cs="Arial"/>
        </w:rPr>
        <w:t xml:space="preserve">The Remuneration Committee </w:t>
      </w:r>
      <w:r w:rsidR="00B31DAF">
        <w:rPr>
          <w:rFonts w:ascii="Arial" w:hAnsi="Arial" w:cs="Arial"/>
        </w:rPr>
        <w:t xml:space="preserve">is responsible for </w:t>
      </w:r>
      <w:r w:rsidR="00BB39FE" w:rsidRPr="00BB39FE">
        <w:rPr>
          <w:rFonts w:ascii="Arial" w:hAnsi="Arial" w:cs="Arial"/>
        </w:rPr>
        <w:t xml:space="preserve">developing </w:t>
      </w:r>
      <w:r w:rsidR="00FB4463">
        <w:rPr>
          <w:rFonts w:ascii="Arial" w:hAnsi="Arial" w:cs="Arial"/>
        </w:rPr>
        <w:t xml:space="preserve">formal and transparent </w:t>
      </w:r>
      <w:r w:rsidR="00BB39FE" w:rsidRPr="00BB39FE">
        <w:rPr>
          <w:rFonts w:ascii="Arial" w:hAnsi="Arial" w:cs="Arial"/>
        </w:rPr>
        <w:t>polic</w:t>
      </w:r>
      <w:r w:rsidR="00FB4463">
        <w:rPr>
          <w:rFonts w:ascii="Arial" w:hAnsi="Arial" w:cs="Arial"/>
        </w:rPr>
        <w:t xml:space="preserve">ies </w:t>
      </w:r>
      <w:r w:rsidR="00BB39FE" w:rsidRPr="00BB39FE">
        <w:rPr>
          <w:rFonts w:ascii="Arial" w:hAnsi="Arial" w:cs="Arial"/>
        </w:rPr>
        <w:t xml:space="preserve">on </w:t>
      </w:r>
      <w:r w:rsidR="00B31DAF">
        <w:rPr>
          <w:rFonts w:ascii="Arial" w:hAnsi="Arial" w:cs="Arial"/>
        </w:rPr>
        <w:t>E</w:t>
      </w:r>
      <w:r w:rsidR="00BB39FE" w:rsidRPr="00BB39FE">
        <w:rPr>
          <w:rFonts w:ascii="Arial" w:hAnsi="Arial" w:cs="Arial"/>
        </w:rPr>
        <w:t>xecutive remuneration</w:t>
      </w:r>
      <w:r w:rsidR="00B31DAF">
        <w:rPr>
          <w:rFonts w:ascii="Arial" w:hAnsi="Arial" w:cs="Arial"/>
        </w:rPr>
        <w:t xml:space="preserve">, and </w:t>
      </w:r>
      <w:r w:rsidR="00BB39FE">
        <w:rPr>
          <w:rFonts w:ascii="Arial" w:hAnsi="Arial" w:cs="Arial"/>
        </w:rPr>
        <w:t>d</w:t>
      </w:r>
      <w:r w:rsidR="00BB39FE" w:rsidRPr="00BB39FE">
        <w:rPr>
          <w:rFonts w:ascii="Arial" w:hAnsi="Arial" w:cs="Arial"/>
        </w:rPr>
        <w:t xml:space="preserve">etermining </w:t>
      </w:r>
      <w:r w:rsidR="00FB4463">
        <w:rPr>
          <w:rFonts w:ascii="Arial" w:hAnsi="Arial" w:cs="Arial"/>
        </w:rPr>
        <w:t xml:space="preserve">how </w:t>
      </w:r>
      <w:r w:rsidR="00BB39FE">
        <w:rPr>
          <w:rFonts w:ascii="Arial" w:hAnsi="Arial" w:cs="Arial"/>
        </w:rPr>
        <w:t>D</w:t>
      </w:r>
      <w:r w:rsidR="00BB39FE" w:rsidRPr="00BB39FE">
        <w:rPr>
          <w:rFonts w:ascii="Arial" w:hAnsi="Arial" w:cs="Arial"/>
        </w:rPr>
        <w:t>irector and senior managemen</w:t>
      </w:r>
      <w:r w:rsidR="00B31DAF">
        <w:rPr>
          <w:rFonts w:ascii="Arial" w:hAnsi="Arial" w:cs="Arial"/>
        </w:rPr>
        <w:t xml:space="preserve">t </w:t>
      </w:r>
      <w:r w:rsidR="00BB39FE" w:rsidRPr="00BB39FE">
        <w:rPr>
          <w:rFonts w:ascii="Arial" w:hAnsi="Arial" w:cs="Arial"/>
        </w:rPr>
        <w:t>remuneration should be established.</w:t>
      </w:r>
      <w:r w:rsidR="00FB4463">
        <w:rPr>
          <w:rFonts w:ascii="Arial" w:hAnsi="Arial" w:cs="Arial"/>
        </w:rPr>
        <w:t xml:space="preserve"> The Committee </w:t>
      </w:r>
      <w:r>
        <w:rPr>
          <w:rFonts w:ascii="Arial" w:hAnsi="Arial" w:cs="Arial"/>
        </w:rPr>
        <w:t xml:space="preserve">establishes the IG </w:t>
      </w:r>
      <w:r w:rsidR="009D3AB7" w:rsidRPr="009D3AB7">
        <w:rPr>
          <w:rFonts w:ascii="Arial" w:hAnsi="Arial" w:cs="Arial"/>
        </w:rPr>
        <w:t xml:space="preserve">Remuneration </w:t>
      </w:r>
      <w:r w:rsidR="00995E37">
        <w:rPr>
          <w:rFonts w:ascii="Arial" w:hAnsi="Arial" w:cs="Arial"/>
        </w:rPr>
        <w:t xml:space="preserve">Director </w:t>
      </w:r>
      <w:r w:rsidR="009D3AB7" w:rsidRPr="009D3AB7">
        <w:rPr>
          <w:rFonts w:ascii="Arial" w:hAnsi="Arial" w:cs="Arial"/>
        </w:rPr>
        <w:t>Policy and ensures</w:t>
      </w:r>
      <w:r w:rsidR="00EA1884">
        <w:rPr>
          <w:rFonts w:ascii="Arial" w:hAnsi="Arial" w:cs="Arial"/>
        </w:rPr>
        <w:t xml:space="preserve"> that</w:t>
      </w:r>
      <w:r w:rsidR="009D3AB7" w:rsidRPr="009D3AB7">
        <w:rPr>
          <w:rFonts w:ascii="Arial" w:hAnsi="Arial" w:cs="Arial"/>
        </w:rPr>
        <w:t xml:space="preserve"> there</w:t>
      </w:r>
      <w:r w:rsidR="009D3AB7">
        <w:rPr>
          <w:rFonts w:ascii="Arial" w:hAnsi="Arial" w:cs="Arial"/>
        </w:rPr>
        <w:t xml:space="preserve"> </w:t>
      </w:r>
      <w:r w:rsidR="009D3AB7" w:rsidRPr="009D3AB7">
        <w:rPr>
          <w:rFonts w:ascii="Arial" w:hAnsi="Arial" w:cs="Arial"/>
        </w:rPr>
        <w:t>is a clear link between performance and remuneration.</w:t>
      </w:r>
      <w:r w:rsidR="00A75EC3">
        <w:rPr>
          <w:rFonts w:ascii="Arial" w:hAnsi="Arial" w:cs="Arial"/>
        </w:rPr>
        <w:t xml:space="preserve"> </w:t>
      </w:r>
    </w:p>
    <w:p w14:paraId="3E4948BB" w14:textId="4519FF61" w:rsidR="00C456A8" w:rsidRDefault="00C456A8" w:rsidP="003601E9">
      <w:pPr>
        <w:pStyle w:val="BodyText"/>
        <w:spacing w:before="150"/>
        <w:ind w:right="241"/>
        <w:jc w:val="both"/>
        <w:rPr>
          <w:rFonts w:ascii="Arial" w:hAnsi="Arial" w:cs="Arial"/>
        </w:rPr>
      </w:pPr>
      <w:r w:rsidRPr="006762D8">
        <w:rPr>
          <w:rFonts w:ascii="Arial" w:hAnsi="Arial" w:cs="Arial"/>
        </w:rPr>
        <w:t>In accordance with the requirements of the 2018 Corporate Governance Code, remuneration arrangements should be transparent and promote effective engagement with</w:t>
      </w:r>
      <w:r w:rsidRPr="006762D8">
        <w:rPr>
          <w:rFonts w:ascii="Arial" w:hAnsi="Arial" w:cs="Arial"/>
          <w:spacing w:val="-11"/>
        </w:rPr>
        <w:t xml:space="preserve"> </w:t>
      </w:r>
      <w:r w:rsidRPr="006762D8">
        <w:rPr>
          <w:rFonts w:ascii="Arial" w:hAnsi="Arial" w:cs="Arial"/>
        </w:rPr>
        <w:t>shareholders</w:t>
      </w:r>
      <w:r w:rsidRPr="006762D8">
        <w:rPr>
          <w:rFonts w:ascii="Arial" w:hAnsi="Arial" w:cs="Arial"/>
          <w:spacing w:val="-12"/>
        </w:rPr>
        <w:t xml:space="preserve"> </w:t>
      </w:r>
      <w:r w:rsidRPr="006762D8">
        <w:rPr>
          <w:rFonts w:ascii="Arial" w:hAnsi="Arial" w:cs="Arial"/>
        </w:rPr>
        <w:t>and</w:t>
      </w:r>
      <w:r w:rsidRPr="006762D8">
        <w:rPr>
          <w:rFonts w:ascii="Arial" w:hAnsi="Arial" w:cs="Arial"/>
          <w:spacing w:val="-11"/>
        </w:rPr>
        <w:t xml:space="preserve"> </w:t>
      </w:r>
      <w:r w:rsidRPr="006762D8">
        <w:rPr>
          <w:rFonts w:ascii="Arial" w:hAnsi="Arial" w:cs="Arial"/>
        </w:rPr>
        <w:t>the</w:t>
      </w:r>
      <w:r w:rsidRPr="006762D8">
        <w:rPr>
          <w:rFonts w:ascii="Arial" w:hAnsi="Arial" w:cs="Arial"/>
          <w:spacing w:val="-9"/>
        </w:rPr>
        <w:t xml:space="preserve"> </w:t>
      </w:r>
      <w:r w:rsidRPr="006762D8">
        <w:rPr>
          <w:rFonts w:ascii="Arial" w:hAnsi="Arial" w:cs="Arial"/>
        </w:rPr>
        <w:t>workforce,</w:t>
      </w:r>
      <w:r w:rsidRPr="006762D8">
        <w:rPr>
          <w:rFonts w:ascii="Arial" w:hAnsi="Arial" w:cs="Arial"/>
          <w:spacing w:val="-11"/>
        </w:rPr>
        <w:t xml:space="preserve"> </w:t>
      </w:r>
      <w:r w:rsidRPr="006762D8">
        <w:rPr>
          <w:rFonts w:ascii="Arial" w:hAnsi="Arial" w:cs="Arial"/>
        </w:rPr>
        <w:t>should</w:t>
      </w:r>
      <w:r w:rsidRPr="006762D8">
        <w:rPr>
          <w:rFonts w:ascii="Arial" w:hAnsi="Arial" w:cs="Arial"/>
          <w:spacing w:val="-11"/>
        </w:rPr>
        <w:t xml:space="preserve"> </w:t>
      </w:r>
      <w:r w:rsidRPr="006762D8">
        <w:rPr>
          <w:rFonts w:ascii="Arial" w:hAnsi="Arial" w:cs="Arial"/>
        </w:rPr>
        <w:t>avoid</w:t>
      </w:r>
      <w:r w:rsidRPr="006762D8">
        <w:rPr>
          <w:rFonts w:ascii="Arial" w:hAnsi="Arial" w:cs="Arial"/>
          <w:spacing w:val="-12"/>
        </w:rPr>
        <w:t xml:space="preserve"> </w:t>
      </w:r>
      <w:r w:rsidRPr="006762D8">
        <w:rPr>
          <w:rFonts w:ascii="Arial" w:hAnsi="Arial" w:cs="Arial"/>
        </w:rPr>
        <w:t>complexity</w:t>
      </w:r>
      <w:r w:rsidRPr="006762D8">
        <w:rPr>
          <w:rFonts w:ascii="Arial" w:hAnsi="Arial" w:cs="Arial"/>
          <w:spacing w:val="-11"/>
        </w:rPr>
        <w:t xml:space="preserve"> </w:t>
      </w:r>
      <w:r w:rsidRPr="006762D8">
        <w:rPr>
          <w:rFonts w:ascii="Arial" w:hAnsi="Arial" w:cs="Arial"/>
        </w:rPr>
        <w:t>and</w:t>
      </w:r>
      <w:r w:rsidRPr="006762D8">
        <w:rPr>
          <w:rFonts w:ascii="Arial" w:hAnsi="Arial" w:cs="Arial"/>
          <w:spacing w:val="-13"/>
        </w:rPr>
        <w:t xml:space="preserve"> </w:t>
      </w:r>
      <w:r w:rsidRPr="006762D8">
        <w:rPr>
          <w:rFonts w:ascii="Arial" w:hAnsi="Arial" w:cs="Arial"/>
        </w:rPr>
        <w:t>ensure</w:t>
      </w:r>
      <w:r w:rsidRPr="006762D8">
        <w:rPr>
          <w:rFonts w:ascii="Arial" w:hAnsi="Arial" w:cs="Arial"/>
          <w:spacing w:val="-9"/>
        </w:rPr>
        <w:t xml:space="preserve"> </w:t>
      </w:r>
      <w:r w:rsidRPr="006762D8">
        <w:rPr>
          <w:rFonts w:ascii="Arial" w:hAnsi="Arial" w:cs="Arial"/>
        </w:rPr>
        <w:t>reputational</w:t>
      </w:r>
      <w:r w:rsidRPr="006762D8">
        <w:rPr>
          <w:rFonts w:ascii="Arial" w:hAnsi="Arial" w:cs="Arial"/>
          <w:spacing w:val="-11"/>
        </w:rPr>
        <w:t xml:space="preserve"> </w:t>
      </w:r>
      <w:r w:rsidRPr="006762D8">
        <w:rPr>
          <w:rFonts w:ascii="Arial" w:hAnsi="Arial" w:cs="Arial"/>
        </w:rPr>
        <w:t xml:space="preserve">and other risks from excessive reward, and behavioural risks that can arise from target-based incentive plans, are identified and mitigated. </w:t>
      </w:r>
      <w:r w:rsidRPr="006762D8">
        <w:rPr>
          <w:rFonts w:ascii="Arial" w:hAnsi="Arial" w:cs="Arial"/>
          <w:spacing w:val="2"/>
        </w:rPr>
        <w:t xml:space="preserve">In </w:t>
      </w:r>
      <w:r w:rsidRPr="006762D8">
        <w:rPr>
          <w:rFonts w:ascii="Arial" w:hAnsi="Arial" w:cs="Arial"/>
        </w:rPr>
        <w:t xml:space="preserve">addition, the range of possible values of rewards to individual directors, limits and discretions should be explained at the time of approving the </w:t>
      </w:r>
      <w:r>
        <w:rPr>
          <w:rFonts w:ascii="Arial" w:hAnsi="Arial" w:cs="Arial"/>
        </w:rPr>
        <w:t xml:space="preserve">Directors’ </w:t>
      </w:r>
      <w:r w:rsidRPr="006762D8">
        <w:rPr>
          <w:rFonts w:ascii="Arial" w:hAnsi="Arial" w:cs="Arial"/>
        </w:rPr>
        <w:t>Remuneration</w:t>
      </w:r>
      <w:r w:rsidRPr="006762D8">
        <w:rPr>
          <w:rFonts w:ascii="Arial" w:hAnsi="Arial" w:cs="Arial"/>
          <w:spacing w:val="-6"/>
        </w:rPr>
        <w:t xml:space="preserve"> </w:t>
      </w:r>
      <w:r w:rsidRPr="006762D8">
        <w:rPr>
          <w:rFonts w:ascii="Arial" w:hAnsi="Arial" w:cs="Arial"/>
        </w:rPr>
        <w:t>Policy.</w:t>
      </w:r>
      <w:r w:rsidR="003A39B7">
        <w:rPr>
          <w:rFonts w:ascii="Arial" w:hAnsi="Arial" w:cs="Arial"/>
        </w:rPr>
        <w:t xml:space="preserve"> </w:t>
      </w:r>
      <w:r w:rsidRPr="006762D8">
        <w:rPr>
          <w:rFonts w:ascii="Arial" w:hAnsi="Arial" w:cs="Arial"/>
        </w:rPr>
        <w:t>The</w:t>
      </w:r>
      <w:r w:rsidRPr="006762D8">
        <w:rPr>
          <w:rFonts w:ascii="Arial" w:hAnsi="Arial" w:cs="Arial"/>
          <w:spacing w:val="-9"/>
        </w:rPr>
        <w:t xml:space="preserve"> </w:t>
      </w:r>
      <w:r w:rsidRPr="006762D8">
        <w:rPr>
          <w:rFonts w:ascii="Arial" w:hAnsi="Arial" w:cs="Arial"/>
        </w:rPr>
        <w:t>link</w:t>
      </w:r>
      <w:r w:rsidRPr="006762D8">
        <w:rPr>
          <w:rFonts w:ascii="Arial" w:hAnsi="Arial" w:cs="Arial"/>
          <w:spacing w:val="-10"/>
        </w:rPr>
        <w:t xml:space="preserve"> </w:t>
      </w:r>
      <w:r w:rsidRPr="006762D8">
        <w:rPr>
          <w:rFonts w:ascii="Arial" w:hAnsi="Arial" w:cs="Arial"/>
        </w:rPr>
        <w:t>between</w:t>
      </w:r>
      <w:r w:rsidRPr="006762D8">
        <w:rPr>
          <w:rFonts w:ascii="Arial" w:hAnsi="Arial" w:cs="Arial"/>
          <w:spacing w:val="-12"/>
        </w:rPr>
        <w:t xml:space="preserve"> </w:t>
      </w:r>
      <w:r w:rsidRPr="006762D8">
        <w:rPr>
          <w:rFonts w:ascii="Arial" w:hAnsi="Arial" w:cs="Arial"/>
        </w:rPr>
        <w:t>individual</w:t>
      </w:r>
      <w:r w:rsidRPr="006762D8">
        <w:rPr>
          <w:rFonts w:ascii="Arial" w:hAnsi="Arial" w:cs="Arial"/>
          <w:spacing w:val="-10"/>
        </w:rPr>
        <w:t xml:space="preserve"> </w:t>
      </w:r>
      <w:r w:rsidRPr="006762D8">
        <w:rPr>
          <w:rFonts w:ascii="Arial" w:hAnsi="Arial" w:cs="Arial"/>
        </w:rPr>
        <w:t>reward,</w:t>
      </w:r>
      <w:r w:rsidRPr="006762D8">
        <w:rPr>
          <w:rFonts w:ascii="Arial" w:hAnsi="Arial" w:cs="Arial"/>
          <w:spacing w:val="-11"/>
        </w:rPr>
        <w:t xml:space="preserve"> </w:t>
      </w:r>
      <w:r w:rsidRPr="006762D8">
        <w:rPr>
          <w:rFonts w:ascii="Arial" w:hAnsi="Arial" w:cs="Arial"/>
        </w:rPr>
        <w:t>the</w:t>
      </w:r>
      <w:r w:rsidRPr="006762D8">
        <w:rPr>
          <w:rFonts w:ascii="Arial" w:hAnsi="Arial" w:cs="Arial"/>
          <w:spacing w:val="-9"/>
        </w:rPr>
        <w:t xml:space="preserve"> </w:t>
      </w:r>
      <w:r w:rsidRPr="006762D8">
        <w:rPr>
          <w:rFonts w:ascii="Arial" w:hAnsi="Arial" w:cs="Arial"/>
        </w:rPr>
        <w:t>delivery</w:t>
      </w:r>
      <w:r w:rsidRPr="006762D8">
        <w:rPr>
          <w:rFonts w:ascii="Arial" w:hAnsi="Arial" w:cs="Arial"/>
          <w:spacing w:val="-10"/>
        </w:rPr>
        <w:t xml:space="preserve"> </w:t>
      </w:r>
      <w:r w:rsidRPr="006762D8">
        <w:rPr>
          <w:rFonts w:ascii="Arial" w:hAnsi="Arial" w:cs="Arial"/>
        </w:rPr>
        <w:t>of</w:t>
      </w:r>
      <w:r w:rsidRPr="006762D8">
        <w:rPr>
          <w:rFonts w:ascii="Arial" w:hAnsi="Arial" w:cs="Arial"/>
          <w:spacing w:val="-10"/>
        </w:rPr>
        <w:t xml:space="preserve"> </w:t>
      </w:r>
      <w:r w:rsidRPr="006762D8">
        <w:rPr>
          <w:rFonts w:ascii="Arial" w:hAnsi="Arial" w:cs="Arial"/>
        </w:rPr>
        <w:t>strategy</w:t>
      </w:r>
      <w:r w:rsidRPr="006762D8">
        <w:rPr>
          <w:rFonts w:ascii="Arial" w:hAnsi="Arial" w:cs="Arial"/>
          <w:spacing w:val="-11"/>
        </w:rPr>
        <w:t xml:space="preserve"> </w:t>
      </w:r>
      <w:r w:rsidRPr="006762D8">
        <w:rPr>
          <w:rFonts w:ascii="Arial" w:hAnsi="Arial" w:cs="Arial"/>
        </w:rPr>
        <w:t>and</w:t>
      </w:r>
      <w:r w:rsidRPr="006762D8">
        <w:rPr>
          <w:rFonts w:ascii="Arial" w:hAnsi="Arial" w:cs="Arial"/>
          <w:spacing w:val="-10"/>
        </w:rPr>
        <w:t xml:space="preserve"> </w:t>
      </w:r>
      <w:r w:rsidRPr="006762D8">
        <w:rPr>
          <w:rFonts w:ascii="Arial" w:hAnsi="Arial" w:cs="Arial"/>
        </w:rPr>
        <w:t>the</w:t>
      </w:r>
      <w:r w:rsidRPr="006762D8">
        <w:rPr>
          <w:rFonts w:ascii="Arial" w:hAnsi="Arial" w:cs="Arial"/>
          <w:spacing w:val="-12"/>
        </w:rPr>
        <w:t xml:space="preserve"> </w:t>
      </w:r>
      <w:r w:rsidRPr="006762D8">
        <w:rPr>
          <w:rFonts w:ascii="Arial" w:hAnsi="Arial" w:cs="Arial"/>
        </w:rPr>
        <w:t>long-term</w:t>
      </w:r>
      <w:r w:rsidRPr="006762D8">
        <w:rPr>
          <w:rFonts w:ascii="Arial" w:hAnsi="Arial" w:cs="Arial"/>
          <w:spacing w:val="-13"/>
        </w:rPr>
        <w:t xml:space="preserve"> </w:t>
      </w:r>
      <w:r w:rsidRPr="006762D8">
        <w:rPr>
          <w:rFonts w:ascii="Arial" w:hAnsi="Arial" w:cs="Arial"/>
        </w:rPr>
        <w:t>performance of the Company and the wider group should be clear. Outcomes should not reward poor performance and incentive schemes should drive behaviours consistent with the Group’s purpose, vision, values</w:t>
      </w:r>
      <w:r>
        <w:rPr>
          <w:rFonts w:ascii="Arial" w:hAnsi="Arial" w:cs="Arial"/>
        </w:rPr>
        <w:t>, culture</w:t>
      </w:r>
      <w:r w:rsidRPr="006762D8">
        <w:rPr>
          <w:rFonts w:ascii="Arial" w:hAnsi="Arial" w:cs="Arial"/>
        </w:rPr>
        <w:t xml:space="preserve"> and</w:t>
      </w:r>
      <w:r w:rsidRPr="006762D8">
        <w:rPr>
          <w:rFonts w:ascii="Arial" w:hAnsi="Arial" w:cs="Arial"/>
          <w:spacing w:val="-6"/>
        </w:rPr>
        <w:t xml:space="preserve"> </w:t>
      </w:r>
      <w:r w:rsidRPr="006762D8">
        <w:rPr>
          <w:rFonts w:ascii="Arial" w:hAnsi="Arial" w:cs="Arial"/>
        </w:rPr>
        <w:t>strategy.</w:t>
      </w:r>
    </w:p>
    <w:p w14:paraId="16E6BB1D" w14:textId="417925BF" w:rsidR="00193B85" w:rsidRPr="006762D8" w:rsidRDefault="00193B85">
      <w:pPr>
        <w:pStyle w:val="BodyText"/>
        <w:rPr>
          <w:rFonts w:ascii="Arial" w:hAnsi="Arial" w:cs="Arial"/>
        </w:rPr>
      </w:pPr>
    </w:p>
    <w:p w14:paraId="2CA4F40B" w14:textId="5DAC9952" w:rsidR="00193B85" w:rsidRPr="006762D8" w:rsidRDefault="00D96639" w:rsidP="009D07EE">
      <w:pPr>
        <w:pStyle w:val="Heading1"/>
        <w:tabs>
          <w:tab w:val="left" w:pos="567"/>
        </w:tabs>
        <w:ind w:left="0"/>
        <w:rPr>
          <w:rFonts w:ascii="Arial" w:hAnsi="Arial" w:cs="Arial"/>
        </w:rPr>
      </w:pPr>
      <w:r w:rsidRPr="006762D8">
        <w:rPr>
          <w:rFonts w:ascii="Arial" w:hAnsi="Arial" w:cs="Arial"/>
        </w:rPr>
        <w:t>1.</w:t>
      </w:r>
      <w:r w:rsidRPr="006762D8">
        <w:rPr>
          <w:rFonts w:ascii="Arial" w:hAnsi="Arial" w:cs="Arial"/>
        </w:rPr>
        <w:tab/>
      </w:r>
      <w:r w:rsidR="004D3C48">
        <w:rPr>
          <w:rFonts w:ascii="Arial" w:hAnsi="Arial" w:cs="Arial"/>
        </w:rPr>
        <w:t>Duties</w:t>
      </w:r>
    </w:p>
    <w:p w14:paraId="4F331FCA" w14:textId="77777777" w:rsidR="00193B85" w:rsidRPr="006762D8" w:rsidRDefault="00193B85">
      <w:pPr>
        <w:pStyle w:val="BodyText"/>
        <w:spacing w:before="1"/>
        <w:rPr>
          <w:rFonts w:ascii="Arial" w:hAnsi="Arial" w:cs="Arial"/>
          <w:b/>
        </w:rPr>
      </w:pPr>
    </w:p>
    <w:p w14:paraId="372B7D80" w14:textId="3E2078F6" w:rsidR="00EF2558" w:rsidRDefault="002930A8" w:rsidP="00F63DC7">
      <w:pPr>
        <w:pStyle w:val="BodyText"/>
        <w:spacing w:before="150"/>
        <w:ind w:right="241"/>
        <w:jc w:val="both"/>
        <w:rPr>
          <w:rFonts w:ascii="Arial" w:hAnsi="Arial" w:cs="Arial"/>
        </w:rPr>
      </w:pPr>
      <w:r w:rsidRPr="006762D8">
        <w:rPr>
          <w:rFonts w:ascii="Arial" w:hAnsi="Arial" w:cs="Arial"/>
        </w:rPr>
        <w:t xml:space="preserve">The Committee shall undertake </w:t>
      </w:r>
      <w:r w:rsidR="00246606" w:rsidRPr="006762D8">
        <w:rPr>
          <w:rFonts w:ascii="Arial" w:hAnsi="Arial" w:cs="Arial"/>
        </w:rPr>
        <w:t>its</w:t>
      </w:r>
      <w:r w:rsidRPr="006762D8">
        <w:rPr>
          <w:rFonts w:ascii="Arial" w:hAnsi="Arial" w:cs="Arial"/>
        </w:rPr>
        <w:t xml:space="preserve"> responsibilities for the </w:t>
      </w:r>
      <w:r w:rsidR="00246606" w:rsidRPr="006762D8">
        <w:rPr>
          <w:rFonts w:ascii="Arial" w:hAnsi="Arial" w:cs="Arial"/>
        </w:rPr>
        <w:t xml:space="preserve">IG </w:t>
      </w:r>
      <w:r w:rsidRPr="006762D8">
        <w:rPr>
          <w:rFonts w:ascii="Arial" w:hAnsi="Arial" w:cs="Arial"/>
        </w:rPr>
        <w:t xml:space="preserve">Group </w:t>
      </w:r>
      <w:r w:rsidR="00246606" w:rsidRPr="006762D8">
        <w:rPr>
          <w:rFonts w:ascii="Arial" w:hAnsi="Arial" w:cs="Arial"/>
        </w:rPr>
        <w:t xml:space="preserve">as a whole </w:t>
      </w:r>
      <w:r w:rsidRPr="006762D8">
        <w:rPr>
          <w:rFonts w:ascii="Arial" w:hAnsi="Arial" w:cs="Arial"/>
        </w:rPr>
        <w:t xml:space="preserve">and where relevant for the individual entities </w:t>
      </w:r>
      <w:r w:rsidR="00246606" w:rsidRPr="006762D8">
        <w:rPr>
          <w:rFonts w:ascii="Arial" w:hAnsi="Arial" w:cs="Arial"/>
        </w:rPr>
        <w:t>forming part of the</w:t>
      </w:r>
      <w:r w:rsidRPr="006762D8">
        <w:rPr>
          <w:rFonts w:ascii="Arial" w:hAnsi="Arial" w:cs="Arial"/>
        </w:rPr>
        <w:t xml:space="preserve"> IG Group,</w:t>
      </w:r>
      <w:r w:rsidR="00D96FF3" w:rsidRPr="00D96FF3">
        <w:t xml:space="preserve"> </w:t>
      </w:r>
      <w:r w:rsidR="00D96FF3" w:rsidRPr="00D96FF3">
        <w:rPr>
          <w:rFonts w:ascii="Arial" w:hAnsi="Arial" w:cs="Arial"/>
        </w:rPr>
        <w:t xml:space="preserve">consistent with the requirements </w:t>
      </w:r>
      <w:r w:rsidR="00FB4463">
        <w:rPr>
          <w:rFonts w:ascii="Arial" w:hAnsi="Arial" w:cs="Arial"/>
        </w:rPr>
        <w:t>including</w:t>
      </w:r>
      <w:r w:rsidR="00FB4463" w:rsidRPr="00D96FF3">
        <w:rPr>
          <w:rFonts w:ascii="Arial" w:hAnsi="Arial" w:cs="Arial"/>
        </w:rPr>
        <w:t xml:space="preserve"> </w:t>
      </w:r>
      <w:r w:rsidR="00D96FF3" w:rsidRPr="00D96FF3">
        <w:rPr>
          <w:rFonts w:ascii="Arial" w:hAnsi="Arial" w:cs="Arial"/>
        </w:rPr>
        <w:t xml:space="preserve">the </w:t>
      </w:r>
      <w:r w:rsidR="00BF0C58">
        <w:rPr>
          <w:rFonts w:ascii="Arial" w:hAnsi="Arial" w:cs="Arial"/>
        </w:rPr>
        <w:t xml:space="preserve">UK Corporate Governance Code, </w:t>
      </w:r>
      <w:r w:rsidR="00D96FF3" w:rsidRPr="00D96FF3">
        <w:rPr>
          <w:rFonts w:ascii="Arial" w:hAnsi="Arial" w:cs="Arial"/>
        </w:rPr>
        <w:t>FCA’s MIFIDPRU Remuneration Code (‘SYSC 19G’),</w:t>
      </w:r>
      <w:r w:rsidR="00D96FF3">
        <w:rPr>
          <w:rFonts w:ascii="Arial" w:hAnsi="Arial" w:cs="Arial"/>
        </w:rPr>
        <w:t xml:space="preserve"> </w:t>
      </w:r>
      <w:r w:rsidR="00D96FF3" w:rsidRPr="00D96FF3">
        <w:rPr>
          <w:rFonts w:ascii="Arial" w:hAnsi="Arial" w:cs="Arial"/>
        </w:rPr>
        <w:t xml:space="preserve">the EBA Guidelines on Sound Remuneration Policies under the Investment Firm Directive (‘IFD’) and </w:t>
      </w:r>
      <w:r w:rsidR="00EF2558">
        <w:rPr>
          <w:rFonts w:ascii="Arial" w:hAnsi="Arial" w:cs="Arial"/>
        </w:rPr>
        <w:t xml:space="preserve">the </w:t>
      </w:r>
      <w:r w:rsidR="00D96FF3" w:rsidRPr="00D96FF3">
        <w:rPr>
          <w:rFonts w:ascii="Arial" w:hAnsi="Arial" w:cs="Arial"/>
        </w:rPr>
        <w:t>relevant German regulation implementing the IFD</w:t>
      </w:r>
      <w:r w:rsidRPr="006762D8">
        <w:rPr>
          <w:rFonts w:ascii="Arial" w:hAnsi="Arial" w:cs="Arial"/>
        </w:rPr>
        <w:t xml:space="preserve">. </w:t>
      </w:r>
    </w:p>
    <w:p w14:paraId="357533E8" w14:textId="6F80B1A2" w:rsidR="002930A8" w:rsidRPr="006762D8" w:rsidRDefault="00246606" w:rsidP="003601E9">
      <w:pPr>
        <w:pStyle w:val="BodyText"/>
        <w:spacing w:before="150"/>
        <w:ind w:right="241"/>
        <w:jc w:val="both"/>
        <w:rPr>
          <w:rFonts w:ascii="Arial" w:hAnsi="Arial" w:cs="Arial"/>
        </w:rPr>
      </w:pPr>
      <w:r w:rsidRPr="006762D8">
        <w:rPr>
          <w:rFonts w:ascii="Arial" w:hAnsi="Arial" w:cs="Arial"/>
        </w:rPr>
        <w:t>In undertaking its responsibilities</w:t>
      </w:r>
      <w:r w:rsidR="00EA4535" w:rsidRPr="006762D8">
        <w:rPr>
          <w:rFonts w:ascii="Arial" w:hAnsi="Arial" w:cs="Arial"/>
        </w:rPr>
        <w:t>,</w:t>
      </w:r>
      <w:r w:rsidRPr="006762D8">
        <w:rPr>
          <w:rFonts w:ascii="Arial" w:hAnsi="Arial" w:cs="Arial"/>
        </w:rPr>
        <w:t xml:space="preserve"> the Committee will be responsible for the preparation of decisions regarding remuneration, including those which have implications for the risk management of the relevant </w:t>
      </w:r>
      <w:r w:rsidR="00EA4535" w:rsidRPr="006762D8">
        <w:rPr>
          <w:rFonts w:ascii="Arial" w:hAnsi="Arial" w:cs="Arial"/>
        </w:rPr>
        <w:t>c</w:t>
      </w:r>
      <w:r w:rsidRPr="006762D8">
        <w:rPr>
          <w:rFonts w:ascii="Arial" w:hAnsi="Arial" w:cs="Arial"/>
        </w:rPr>
        <w:t xml:space="preserve">ompany and which are to be taken by the Board of the relevant </w:t>
      </w:r>
      <w:r w:rsidR="00EA4535" w:rsidRPr="006762D8">
        <w:rPr>
          <w:rFonts w:ascii="Arial" w:hAnsi="Arial" w:cs="Arial"/>
        </w:rPr>
        <w:t>c</w:t>
      </w:r>
      <w:r w:rsidRPr="006762D8">
        <w:rPr>
          <w:rFonts w:ascii="Arial" w:hAnsi="Arial" w:cs="Arial"/>
        </w:rPr>
        <w:t xml:space="preserve">ompany (and when doing so </w:t>
      </w:r>
      <w:r w:rsidR="00EA4535" w:rsidRPr="006762D8">
        <w:rPr>
          <w:rFonts w:ascii="Arial" w:hAnsi="Arial" w:cs="Arial"/>
        </w:rPr>
        <w:t xml:space="preserve">shall </w:t>
      </w:r>
      <w:r w:rsidR="00D96FF3">
        <w:rPr>
          <w:rFonts w:ascii="Arial" w:hAnsi="Arial" w:cs="Arial"/>
        </w:rPr>
        <w:t xml:space="preserve">be </w:t>
      </w:r>
      <w:r w:rsidR="00D96FF3" w:rsidRPr="00D96FF3">
        <w:rPr>
          <w:rFonts w:ascii="Arial" w:hAnsi="Arial" w:cs="Arial"/>
        </w:rPr>
        <w:t>gender neutral</w:t>
      </w:r>
      <w:r w:rsidR="002241C3">
        <w:rPr>
          <w:rFonts w:ascii="Arial" w:hAnsi="Arial" w:cs="Arial"/>
        </w:rPr>
        <w:t xml:space="preserve"> </w:t>
      </w:r>
      <w:r w:rsidR="002241C3" w:rsidRPr="003601E9">
        <w:rPr>
          <w:rFonts w:ascii="Arial" w:hAnsi="Arial" w:cs="Arial"/>
        </w:rPr>
        <w:t>and non-discriminatory</w:t>
      </w:r>
      <w:r w:rsidR="003A75AB" w:rsidRPr="000A011D">
        <w:rPr>
          <w:rStyle w:val="FootnoteReference"/>
          <w:rFonts w:ascii="Arial" w:hAnsi="Arial" w:cs="Arial"/>
        </w:rPr>
        <w:footnoteReference w:id="2"/>
      </w:r>
      <w:r w:rsidR="00D96FF3" w:rsidRPr="000A011D">
        <w:rPr>
          <w:rFonts w:ascii="Arial" w:hAnsi="Arial" w:cs="Arial"/>
        </w:rPr>
        <w:t>,</w:t>
      </w:r>
      <w:r w:rsidR="00D96FF3">
        <w:rPr>
          <w:rFonts w:ascii="Arial" w:hAnsi="Arial" w:cs="Arial"/>
        </w:rPr>
        <w:t xml:space="preserve"> </w:t>
      </w:r>
      <w:r w:rsidR="00D96FF3" w:rsidRPr="00D96FF3">
        <w:rPr>
          <w:rFonts w:ascii="Arial" w:hAnsi="Arial" w:cs="Arial"/>
        </w:rPr>
        <w:t xml:space="preserve">in line with the business strategy, objectives, corporate culture and values, and </w:t>
      </w:r>
      <w:r w:rsidRPr="006762D8">
        <w:rPr>
          <w:rFonts w:ascii="Arial" w:hAnsi="Arial" w:cs="Arial"/>
        </w:rPr>
        <w:t>tak</w:t>
      </w:r>
      <w:r w:rsidR="00EA4535" w:rsidRPr="006762D8">
        <w:rPr>
          <w:rFonts w:ascii="Arial" w:hAnsi="Arial" w:cs="Arial"/>
        </w:rPr>
        <w:t>e</w:t>
      </w:r>
      <w:r w:rsidRPr="006762D8">
        <w:rPr>
          <w:rFonts w:ascii="Arial" w:hAnsi="Arial" w:cs="Arial"/>
        </w:rPr>
        <w:t xml:space="preserve"> into account the long-term interests of shareholders, investors and other stakeholders in the </w:t>
      </w:r>
      <w:r w:rsidR="00EA4535" w:rsidRPr="006762D8">
        <w:rPr>
          <w:rFonts w:ascii="Arial" w:hAnsi="Arial" w:cs="Arial"/>
        </w:rPr>
        <w:t>relevant c</w:t>
      </w:r>
      <w:r w:rsidRPr="006762D8">
        <w:rPr>
          <w:rFonts w:ascii="Arial" w:hAnsi="Arial" w:cs="Arial"/>
        </w:rPr>
        <w:t xml:space="preserve">ompany and the public interest). </w:t>
      </w:r>
    </w:p>
    <w:p w14:paraId="6C551C6D" w14:textId="77777777" w:rsidR="002930A8" w:rsidRPr="006762D8" w:rsidRDefault="002930A8" w:rsidP="00330F6A">
      <w:pPr>
        <w:pStyle w:val="BodyText"/>
        <w:ind w:left="854" w:right="241"/>
        <w:jc w:val="both"/>
        <w:rPr>
          <w:rFonts w:ascii="Arial" w:hAnsi="Arial" w:cs="Arial"/>
        </w:rPr>
      </w:pPr>
    </w:p>
    <w:p w14:paraId="183076F0" w14:textId="77777777" w:rsidR="00193B85" w:rsidRPr="006762D8" w:rsidRDefault="00D96639" w:rsidP="003601E9">
      <w:pPr>
        <w:pStyle w:val="BodyText"/>
        <w:ind w:right="241"/>
        <w:jc w:val="both"/>
        <w:rPr>
          <w:rFonts w:ascii="Arial" w:hAnsi="Arial" w:cs="Arial"/>
        </w:rPr>
      </w:pPr>
      <w:r w:rsidRPr="006762D8">
        <w:rPr>
          <w:rFonts w:ascii="Arial" w:hAnsi="Arial" w:cs="Arial"/>
        </w:rPr>
        <w:t xml:space="preserve">For the </w:t>
      </w:r>
      <w:r w:rsidR="002930A8" w:rsidRPr="006762D8">
        <w:rPr>
          <w:rFonts w:ascii="Arial" w:hAnsi="Arial" w:cs="Arial"/>
        </w:rPr>
        <w:t>avoidance</w:t>
      </w:r>
      <w:r w:rsidRPr="006762D8">
        <w:rPr>
          <w:rFonts w:ascii="Arial" w:hAnsi="Arial" w:cs="Arial"/>
        </w:rPr>
        <w:t xml:space="preserve"> of doubt the Committee is not responsible for the financial reporting review of subsidiary undertakings.</w:t>
      </w:r>
    </w:p>
    <w:p w14:paraId="1792F4B0" w14:textId="77777777" w:rsidR="00193B85" w:rsidRPr="006762D8" w:rsidRDefault="00193B85">
      <w:pPr>
        <w:pStyle w:val="BodyText"/>
        <w:rPr>
          <w:rFonts w:ascii="Arial" w:hAnsi="Arial" w:cs="Arial"/>
          <w:b/>
          <w:sz w:val="23"/>
        </w:rPr>
      </w:pPr>
    </w:p>
    <w:p w14:paraId="7BC1BBAE" w14:textId="77777777" w:rsidR="00193B85" w:rsidRPr="006762D8" w:rsidRDefault="00D96639" w:rsidP="003601E9">
      <w:pPr>
        <w:pStyle w:val="BodyText"/>
        <w:rPr>
          <w:rFonts w:ascii="Arial" w:hAnsi="Arial" w:cs="Arial"/>
        </w:rPr>
      </w:pPr>
      <w:r w:rsidRPr="006762D8">
        <w:rPr>
          <w:rFonts w:ascii="Arial" w:hAnsi="Arial" w:cs="Arial"/>
        </w:rPr>
        <w:t>The Committee shall:</w:t>
      </w:r>
    </w:p>
    <w:p w14:paraId="524A07CF" w14:textId="77777777" w:rsidR="00193B85" w:rsidRPr="006762D8" w:rsidRDefault="00193B85">
      <w:pPr>
        <w:pStyle w:val="BodyText"/>
        <w:rPr>
          <w:rFonts w:ascii="Arial" w:hAnsi="Arial" w:cs="Arial"/>
          <w:sz w:val="20"/>
        </w:rPr>
      </w:pPr>
    </w:p>
    <w:p w14:paraId="7D1A64F1" w14:textId="77777777" w:rsidR="00193B85" w:rsidRPr="006762D8" w:rsidRDefault="00193B85">
      <w:pPr>
        <w:pStyle w:val="BodyText"/>
        <w:spacing w:before="1"/>
        <w:rPr>
          <w:rFonts w:ascii="Arial" w:hAnsi="Arial" w:cs="Arial"/>
          <w:sz w:val="14"/>
        </w:rPr>
      </w:pPr>
    </w:p>
    <w:tbl>
      <w:tblPr>
        <w:tblW w:w="9771" w:type="dxa"/>
        <w:tblLayout w:type="fixed"/>
        <w:tblCellMar>
          <w:left w:w="0" w:type="dxa"/>
          <w:right w:w="0" w:type="dxa"/>
        </w:tblCellMar>
        <w:tblLook w:val="01E0" w:firstRow="1" w:lastRow="1" w:firstColumn="1" w:lastColumn="1" w:noHBand="0" w:noVBand="0"/>
      </w:tblPr>
      <w:tblGrid>
        <w:gridCol w:w="1134"/>
        <w:gridCol w:w="7997"/>
        <w:gridCol w:w="640"/>
      </w:tblGrid>
      <w:tr w:rsidR="001A125C" w:rsidRPr="006762D8" w14:paraId="33A5656C" w14:textId="77777777" w:rsidTr="001A125C">
        <w:trPr>
          <w:trHeight w:val="3103"/>
        </w:trPr>
        <w:tc>
          <w:tcPr>
            <w:tcW w:w="1134" w:type="dxa"/>
          </w:tcPr>
          <w:p w14:paraId="789F5C18" w14:textId="2A076221" w:rsidR="00193B85" w:rsidRPr="006762D8" w:rsidRDefault="00193B85" w:rsidP="003601E9">
            <w:pPr>
              <w:pStyle w:val="TableParagraph"/>
              <w:numPr>
                <w:ilvl w:val="1"/>
                <w:numId w:val="10"/>
              </w:numPr>
              <w:spacing w:before="1"/>
              <w:rPr>
                <w:rFonts w:ascii="Arial" w:hAnsi="Arial" w:cs="Arial"/>
              </w:rPr>
            </w:pPr>
          </w:p>
        </w:tc>
        <w:tc>
          <w:tcPr>
            <w:tcW w:w="7997" w:type="dxa"/>
          </w:tcPr>
          <w:p w14:paraId="149D1050" w14:textId="064B8D62" w:rsidR="00EF1B32" w:rsidRPr="006762D8" w:rsidRDefault="00D96639" w:rsidP="00062500">
            <w:pPr>
              <w:pStyle w:val="TableParagraph"/>
              <w:spacing w:before="1"/>
              <w:ind w:right="259"/>
              <w:jc w:val="both"/>
              <w:rPr>
                <w:rFonts w:ascii="Arial" w:hAnsi="Arial" w:cs="Arial"/>
              </w:rPr>
            </w:pPr>
            <w:r w:rsidRPr="006762D8">
              <w:rPr>
                <w:rFonts w:ascii="Arial" w:hAnsi="Arial" w:cs="Arial"/>
              </w:rPr>
              <w:t xml:space="preserve">determine and review for adequacy and effectiveness </w:t>
            </w:r>
            <w:r w:rsidR="001A125C">
              <w:rPr>
                <w:rFonts w:ascii="Arial" w:hAnsi="Arial" w:cs="Arial"/>
              </w:rPr>
              <w:t xml:space="preserve">at least </w:t>
            </w:r>
            <w:r w:rsidRPr="006762D8">
              <w:rPr>
                <w:rFonts w:ascii="Arial" w:hAnsi="Arial" w:cs="Arial"/>
              </w:rPr>
              <w:t>annually)</w:t>
            </w:r>
            <w:r w:rsidRPr="003601E9">
              <w:rPr>
                <w:rFonts w:ascii="Arial" w:hAnsi="Arial" w:cs="Arial"/>
              </w:rPr>
              <w:t xml:space="preserve"> </w:t>
            </w:r>
            <w:r w:rsidRPr="006762D8">
              <w:rPr>
                <w:rFonts w:ascii="Arial" w:hAnsi="Arial" w:cs="Arial"/>
              </w:rPr>
              <w:t>the</w:t>
            </w:r>
            <w:r w:rsidRPr="003601E9">
              <w:rPr>
                <w:rFonts w:ascii="Arial" w:hAnsi="Arial" w:cs="Arial"/>
              </w:rPr>
              <w:t xml:space="preserve"> </w:t>
            </w:r>
            <w:r w:rsidRPr="006762D8">
              <w:rPr>
                <w:rFonts w:ascii="Arial" w:hAnsi="Arial" w:cs="Arial"/>
              </w:rPr>
              <w:t>Group</w:t>
            </w:r>
            <w:r w:rsidRPr="003601E9">
              <w:rPr>
                <w:rFonts w:ascii="Arial" w:hAnsi="Arial" w:cs="Arial"/>
              </w:rPr>
              <w:t xml:space="preserve"> </w:t>
            </w:r>
            <w:r w:rsidRPr="006762D8">
              <w:rPr>
                <w:rFonts w:ascii="Arial" w:hAnsi="Arial" w:cs="Arial"/>
              </w:rPr>
              <w:t>Remuneration</w:t>
            </w:r>
            <w:r w:rsidRPr="003601E9">
              <w:rPr>
                <w:rFonts w:ascii="Arial" w:hAnsi="Arial" w:cs="Arial"/>
              </w:rPr>
              <w:t xml:space="preserve"> </w:t>
            </w:r>
            <w:r w:rsidRPr="006762D8">
              <w:rPr>
                <w:rFonts w:ascii="Arial" w:hAnsi="Arial" w:cs="Arial"/>
              </w:rPr>
              <w:t>Policy</w:t>
            </w:r>
            <w:r w:rsidR="001A125C">
              <w:rPr>
                <w:rFonts w:ascii="Arial" w:hAnsi="Arial" w:cs="Arial"/>
              </w:rPr>
              <w:t xml:space="preserve">. </w:t>
            </w:r>
            <w:r w:rsidR="00D83962">
              <w:rPr>
                <w:rFonts w:ascii="Arial" w:hAnsi="Arial" w:cs="Arial"/>
              </w:rPr>
              <w:t xml:space="preserve">The Committee should ensure that the Group Remuneration Policy </w:t>
            </w:r>
            <w:r w:rsidRPr="006762D8">
              <w:rPr>
                <w:rFonts w:ascii="Arial" w:hAnsi="Arial" w:cs="Arial"/>
              </w:rPr>
              <w:t>is</w:t>
            </w:r>
            <w:r w:rsidRPr="003601E9">
              <w:rPr>
                <w:rFonts w:ascii="Arial" w:hAnsi="Arial" w:cs="Arial"/>
              </w:rPr>
              <w:t xml:space="preserve"> </w:t>
            </w:r>
            <w:r w:rsidRPr="006762D8">
              <w:rPr>
                <w:rFonts w:ascii="Arial" w:hAnsi="Arial" w:cs="Arial"/>
              </w:rPr>
              <w:t>consistent</w:t>
            </w:r>
            <w:r w:rsidRPr="003601E9">
              <w:rPr>
                <w:rFonts w:ascii="Arial" w:hAnsi="Arial" w:cs="Arial"/>
              </w:rPr>
              <w:t xml:space="preserve"> </w:t>
            </w:r>
            <w:r w:rsidRPr="006762D8">
              <w:rPr>
                <w:rFonts w:ascii="Arial" w:hAnsi="Arial" w:cs="Arial"/>
              </w:rPr>
              <w:t>with</w:t>
            </w:r>
            <w:r w:rsidRPr="003601E9">
              <w:rPr>
                <w:rFonts w:ascii="Arial" w:hAnsi="Arial" w:cs="Arial"/>
              </w:rPr>
              <w:t xml:space="preserve"> </w:t>
            </w:r>
            <w:r w:rsidRPr="006762D8">
              <w:rPr>
                <w:rFonts w:ascii="Arial" w:hAnsi="Arial" w:cs="Arial"/>
              </w:rPr>
              <w:t>effective</w:t>
            </w:r>
            <w:r w:rsidRPr="003601E9">
              <w:rPr>
                <w:rFonts w:ascii="Arial" w:hAnsi="Arial" w:cs="Arial"/>
              </w:rPr>
              <w:t xml:space="preserve"> </w:t>
            </w:r>
            <w:r w:rsidRPr="006762D8">
              <w:rPr>
                <w:rFonts w:ascii="Arial" w:hAnsi="Arial" w:cs="Arial"/>
              </w:rPr>
              <w:t>risk</w:t>
            </w:r>
            <w:r w:rsidRPr="003601E9">
              <w:rPr>
                <w:rFonts w:ascii="Arial" w:hAnsi="Arial" w:cs="Arial"/>
              </w:rPr>
              <w:t xml:space="preserve"> </w:t>
            </w:r>
            <w:r w:rsidRPr="006762D8">
              <w:rPr>
                <w:rFonts w:ascii="Arial" w:hAnsi="Arial" w:cs="Arial"/>
              </w:rPr>
              <w:t>management</w:t>
            </w:r>
            <w:r w:rsidRPr="003601E9">
              <w:rPr>
                <w:rFonts w:ascii="Arial" w:hAnsi="Arial" w:cs="Arial"/>
              </w:rPr>
              <w:t xml:space="preserve"> </w:t>
            </w:r>
            <w:r w:rsidRPr="006762D8">
              <w:rPr>
                <w:rFonts w:ascii="Arial" w:hAnsi="Arial" w:cs="Arial"/>
              </w:rPr>
              <w:t>across</w:t>
            </w:r>
            <w:r w:rsidRPr="003601E9">
              <w:rPr>
                <w:rFonts w:ascii="Arial" w:hAnsi="Arial" w:cs="Arial"/>
              </w:rPr>
              <w:t xml:space="preserve"> </w:t>
            </w:r>
            <w:r w:rsidRPr="006762D8">
              <w:rPr>
                <w:rFonts w:ascii="Arial" w:hAnsi="Arial" w:cs="Arial"/>
              </w:rPr>
              <w:t>the</w:t>
            </w:r>
            <w:r w:rsidRPr="003601E9">
              <w:rPr>
                <w:rFonts w:ascii="Arial" w:hAnsi="Arial" w:cs="Arial"/>
              </w:rPr>
              <w:t xml:space="preserve"> </w:t>
            </w:r>
            <w:r w:rsidR="00D83962" w:rsidRPr="003601E9">
              <w:rPr>
                <w:rFonts w:ascii="Arial" w:hAnsi="Arial" w:cs="Arial"/>
              </w:rPr>
              <w:t>G</w:t>
            </w:r>
            <w:r w:rsidRPr="006762D8">
              <w:rPr>
                <w:rFonts w:ascii="Arial" w:hAnsi="Arial" w:cs="Arial"/>
              </w:rPr>
              <w:t>roup</w:t>
            </w:r>
            <w:r w:rsidRPr="003601E9">
              <w:rPr>
                <w:rFonts w:ascii="Arial" w:hAnsi="Arial" w:cs="Arial"/>
              </w:rPr>
              <w:t xml:space="preserve"> </w:t>
            </w:r>
            <w:r w:rsidRPr="006762D8">
              <w:rPr>
                <w:rFonts w:ascii="Arial" w:hAnsi="Arial" w:cs="Arial"/>
              </w:rPr>
              <w:t xml:space="preserve">and to consider the implications of the </w:t>
            </w:r>
            <w:r w:rsidR="001B5324">
              <w:rPr>
                <w:rFonts w:ascii="Arial" w:hAnsi="Arial" w:cs="Arial"/>
              </w:rPr>
              <w:t>G</w:t>
            </w:r>
            <w:r w:rsidRPr="006762D8">
              <w:rPr>
                <w:rFonts w:ascii="Arial" w:hAnsi="Arial" w:cs="Arial"/>
              </w:rPr>
              <w:t xml:space="preserve">roup Remuneration Policy on risk and risk management. In determining and reviewing the </w:t>
            </w:r>
            <w:r w:rsidR="0005333F">
              <w:rPr>
                <w:rFonts w:ascii="Arial" w:hAnsi="Arial" w:cs="Arial"/>
              </w:rPr>
              <w:t>G</w:t>
            </w:r>
            <w:r w:rsidRPr="006762D8">
              <w:rPr>
                <w:rFonts w:ascii="Arial" w:hAnsi="Arial" w:cs="Arial"/>
              </w:rPr>
              <w:t>roup Remuneration Policy, where appropriate, the Committee shall invite input from the Group Chief Compliance Officer and the Group Chief Risk Officer; The</w:t>
            </w:r>
            <w:r w:rsidRPr="003601E9">
              <w:rPr>
                <w:rFonts w:ascii="Arial" w:hAnsi="Arial" w:cs="Arial"/>
              </w:rPr>
              <w:t xml:space="preserve"> </w:t>
            </w:r>
            <w:r w:rsidR="006573AF" w:rsidRPr="003601E9">
              <w:rPr>
                <w:rFonts w:ascii="Arial" w:hAnsi="Arial" w:cs="Arial"/>
              </w:rPr>
              <w:t xml:space="preserve">Group Remuneration </w:t>
            </w:r>
            <w:r w:rsidRPr="006762D8">
              <w:rPr>
                <w:rFonts w:ascii="Arial" w:hAnsi="Arial" w:cs="Arial"/>
              </w:rPr>
              <w:t>Policy</w:t>
            </w:r>
            <w:r w:rsidRPr="003601E9">
              <w:rPr>
                <w:rFonts w:ascii="Arial" w:hAnsi="Arial" w:cs="Arial"/>
              </w:rPr>
              <w:t xml:space="preserve"> </w:t>
            </w:r>
            <w:r w:rsidRPr="006762D8">
              <w:rPr>
                <w:rFonts w:ascii="Arial" w:hAnsi="Arial" w:cs="Arial"/>
              </w:rPr>
              <w:t>should</w:t>
            </w:r>
            <w:r w:rsidRPr="003601E9">
              <w:rPr>
                <w:rFonts w:ascii="Arial" w:hAnsi="Arial" w:cs="Arial"/>
              </w:rPr>
              <w:t xml:space="preserve"> </w:t>
            </w:r>
            <w:r w:rsidRPr="006762D8">
              <w:rPr>
                <w:rFonts w:ascii="Arial" w:hAnsi="Arial" w:cs="Arial"/>
              </w:rPr>
              <w:t>enable</w:t>
            </w:r>
            <w:r w:rsidRPr="003601E9">
              <w:rPr>
                <w:rFonts w:ascii="Arial" w:hAnsi="Arial" w:cs="Arial"/>
              </w:rPr>
              <w:t xml:space="preserve"> </w:t>
            </w:r>
            <w:r w:rsidRPr="006762D8">
              <w:rPr>
                <w:rFonts w:ascii="Arial" w:hAnsi="Arial" w:cs="Arial"/>
              </w:rPr>
              <w:t>the</w:t>
            </w:r>
            <w:r w:rsidRPr="003601E9">
              <w:rPr>
                <w:rFonts w:ascii="Arial" w:hAnsi="Arial" w:cs="Arial"/>
              </w:rPr>
              <w:t xml:space="preserve"> </w:t>
            </w:r>
            <w:r w:rsidRPr="006762D8">
              <w:rPr>
                <w:rFonts w:ascii="Arial" w:hAnsi="Arial" w:cs="Arial"/>
              </w:rPr>
              <w:t>use</w:t>
            </w:r>
            <w:r w:rsidRPr="003601E9">
              <w:rPr>
                <w:rFonts w:ascii="Arial" w:hAnsi="Arial" w:cs="Arial"/>
              </w:rPr>
              <w:t xml:space="preserve"> </w:t>
            </w:r>
            <w:r w:rsidRPr="006762D8">
              <w:rPr>
                <w:rFonts w:ascii="Arial" w:hAnsi="Arial" w:cs="Arial"/>
              </w:rPr>
              <w:t>of</w:t>
            </w:r>
            <w:r w:rsidRPr="003601E9">
              <w:rPr>
                <w:rFonts w:ascii="Arial" w:hAnsi="Arial" w:cs="Arial"/>
              </w:rPr>
              <w:t xml:space="preserve"> </w:t>
            </w:r>
            <w:r w:rsidRPr="006762D8">
              <w:rPr>
                <w:rFonts w:ascii="Arial" w:hAnsi="Arial" w:cs="Arial"/>
              </w:rPr>
              <w:t>discretion</w:t>
            </w:r>
            <w:r w:rsidRPr="003601E9">
              <w:rPr>
                <w:rFonts w:ascii="Arial" w:hAnsi="Arial" w:cs="Arial"/>
              </w:rPr>
              <w:t xml:space="preserve"> </w:t>
            </w:r>
            <w:r w:rsidRPr="006762D8">
              <w:rPr>
                <w:rFonts w:ascii="Arial" w:hAnsi="Arial" w:cs="Arial"/>
              </w:rPr>
              <w:t>to</w:t>
            </w:r>
            <w:r w:rsidRPr="003601E9">
              <w:rPr>
                <w:rFonts w:ascii="Arial" w:hAnsi="Arial" w:cs="Arial"/>
              </w:rPr>
              <w:t xml:space="preserve"> </w:t>
            </w:r>
            <w:r w:rsidRPr="006762D8">
              <w:rPr>
                <w:rFonts w:ascii="Arial" w:hAnsi="Arial" w:cs="Arial"/>
              </w:rPr>
              <w:t>override</w:t>
            </w:r>
            <w:r w:rsidRPr="003601E9">
              <w:rPr>
                <w:rFonts w:ascii="Arial" w:hAnsi="Arial" w:cs="Arial"/>
              </w:rPr>
              <w:t xml:space="preserve"> </w:t>
            </w:r>
            <w:r w:rsidRPr="006762D8">
              <w:rPr>
                <w:rFonts w:ascii="Arial" w:hAnsi="Arial" w:cs="Arial"/>
              </w:rPr>
              <w:t>formulaic</w:t>
            </w:r>
            <w:r w:rsidRPr="003601E9">
              <w:rPr>
                <w:rFonts w:ascii="Arial" w:hAnsi="Arial" w:cs="Arial"/>
              </w:rPr>
              <w:t xml:space="preserve"> </w:t>
            </w:r>
            <w:r w:rsidRPr="006762D8">
              <w:rPr>
                <w:rFonts w:ascii="Arial" w:hAnsi="Arial" w:cs="Arial"/>
              </w:rPr>
              <w:t>outcomes and include provisions that would enable recovery and/or withholding of sums or share awards and specify the circumstances in which it would be appropriate to do</w:t>
            </w:r>
            <w:r w:rsidRPr="003601E9">
              <w:rPr>
                <w:rFonts w:ascii="Arial" w:hAnsi="Arial" w:cs="Arial"/>
              </w:rPr>
              <w:t xml:space="preserve"> </w:t>
            </w:r>
            <w:r w:rsidRPr="006762D8">
              <w:rPr>
                <w:rFonts w:ascii="Arial" w:hAnsi="Arial" w:cs="Arial"/>
              </w:rPr>
              <w:t>so;</w:t>
            </w:r>
          </w:p>
        </w:tc>
        <w:tc>
          <w:tcPr>
            <w:tcW w:w="640" w:type="dxa"/>
          </w:tcPr>
          <w:p w14:paraId="68878FD2" w14:textId="1B7BA5D2" w:rsidR="00193B85" w:rsidRPr="006762D8" w:rsidRDefault="00193B85">
            <w:pPr>
              <w:pStyle w:val="TableParagraph"/>
              <w:spacing w:before="1"/>
              <w:ind w:left="62"/>
              <w:jc w:val="center"/>
              <w:rPr>
                <w:rFonts w:ascii="Arial" w:hAnsi="Arial" w:cs="Arial"/>
                <w:b/>
              </w:rPr>
            </w:pPr>
          </w:p>
        </w:tc>
      </w:tr>
      <w:tr w:rsidR="001A125C" w:rsidRPr="006762D8" w14:paraId="4DB94E8A" w14:textId="77777777" w:rsidTr="003601E9">
        <w:trPr>
          <w:trHeight w:val="1797"/>
        </w:trPr>
        <w:tc>
          <w:tcPr>
            <w:tcW w:w="1134" w:type="dxa"/>
          </w:tcPr>
          <w:p w14:paraId="6D78349E" w14:textId="163B04DF" w:rsidR="001550FE" w:rsidRPr="006762D8" w:rsidRDefault="001550FE" w:rsidP="003601E9">
            <w:pPr>
              <w:pStyle w:val="TableParagraph"/>
              <w:numPr>
                <w:ilvl w:val="1"/>
                <w:numId w:val="10"/>
              </w:numPr>
              <w:spacing w:before="1"/>
              <w:rPr>
                <w:rFonts w:ascii="Arial" w:hAnsi="Arial" w:cs="Arial"/>
              </w:rPr>
            </w:pPr>
          </w:p>
        </w:tc>
        <w:tc>
          <w:tcPr>
            <w:tcW w:w="7997" w:type="dxa"/>
          </w:tcPr>
          <w:p w14:paraId="3787791A" w14:textId="71369E40" w:rsidR="001550FE" w:rsidRPr="006762D8" w:rsidRDefault="001550FE" w:rsidP="00421C61">
            <w:pPr>
              <w:pStyle w:val="TableParagraph"/>
              <w:spacing w:before="1"/>
              <w:ind w:right="259"/>
              <w:jc w:val="both"/>
              <w:rPr>
                <w:rFonts w:ascii="Arial" w:hAnsi="Arial" w:cs="Arial"/>
              </w:rPr>
            </w:pPr>
            <w:r w:rsidRPr="008F4B4F">
              <w:rPr>
                <w:rFonts w:ascii="Arial" w:hAnsi="Arial" w:cs="Arial"/>
              </w:rPr>
              <w:t xml:space="preserve">ensure that the </w:t>
            </w:r>
            <w:r>
              <w:rPr>
                <w:rFonts w:ascii="Arial" w:hAnsi="Arial" w:cs="Arial"/>
              </w:rPr>
              <w:t xml:space="preserve">Group </w:t>
            </w:r>
            <w:r w:rsidR="00812AC1">
              <w:rPr>
                <w:rFonts w:ascii="Arial" w:hAnsi="Arial" w:cs="Arial"/>
              </w:rPr>
              <w:t>R</w:t>
            </w:r>
            <w:r w:rsidRPr="008F4B4F">
              <w:rPr>
                <w:rFonts w:ascii="Arial" w:hAnsi="Arial" w:cs="Arial"/>
              </w:rPr>
              <w:t xml:space="preserve">emuneration </w:t>
            </w:r>
            <w:r w:rsidR="00812AC1">
              <w:rPr>
                <w:rFonts w:ascii="Arial" w:hAnsi="Arial" w:cs="Arial"/>
              </w:rPr>
              <w:t>P</w:t>
            </w:r>
            <w:r w:rsidRPr="008F4B4F">
              <w:rPr>
                <w:rFonts w:ascii="Arial" w:hAnsi="Arial" w:cs="Arial"/>
              </w:rPr>
              <w:t xml:space="preserve">olicy and </w:t>
            </w:r>
            <w:r>
              <w:rPr>
                <w:rFonts w:ascii="Arial" w:hAnsi="Arial" w:cs="Arial"/>
              </w:rPr>
              <w:t xml:space="preserve">remuneration </w:t>
            </w:r>
            <w:r w:rsidRPr="008F4B4F">
              <w:rPr>
                <w:rFonts w:ascii="Arial" w:hAnsi="Arial" w:cs="Arial"/>
              </w:rPr>
              <w:t xml:space="preserve">practices are gender neutral </w:t>
            </w:r>
            <w:r w:rsidR="002241C3" w:rsidRPr="003601E9">
              <w:rPr>
                <w:rFonts w:ascii="Arial" w:hAnsi="Arial" w:cs="Arial"/>
              </w:rPr>
              <w:t>and non-discriminatory</w:t>
            </w:r>
            <w:r w:rsidR="002241C3">
              <w:rPr>
                <w:rFonts w:ascii="Arial" w:hAnsi="Arial" w:cs="Arial"/>
              </w:rPr>
              <w:t xml:space="preserve"> </w:t>
            </w:r>
            <w:r w:rsidRPr="008F4B4F">
              <w:rPr>
                <w:rFonts w:ascii="Arial" w:hAnsi="Arial" w:cs="Arial"/>
              </w:rPr>
              <w:t>and compliant with relevant local legislation. The Committee shall ensure that the assessment of individual performance and the award of any variable remuneration, in accordance with the relevant remuneration regulations, does not discriminate on the basis of the protected characteristics of an individual</w:t>
            </w:r>
          </w:p>
        </w:tc>
        <w:tc>
          <w:tcPr>
            <w:tcW w:w="640" w:type="dxa"/>
          </w:tcPr>
          <w:p w14:paraId="633D9CE8" w14:textId="5761E2C7" w:rsidR="001550FE" w:rsidRPr="006762D8" w:rsidRDefault="001550FE" w:rsidP="001550FE">
            <w:pPr>
              <w:pStyle w:val="TableParagraph"/>
              <w:spacing w:before="1"/>
              <w:ind w:left="62"/>
              <w:jc w:val="center"/>
              <w:rPr>
                <w:rFonts w:ascii="Arial" w:hAnsi="Arial" w:cs="Arial"/>
                <w:b/>
              </w:rPr>
            </w:pPr>
          </w:p>
        </w:tc>
      </w:tr>
      <w:tr w:rsidR="001A125C" w:rsidRPr="006762D8" w14:paraId="253ACACE" w14:textId="77777777" w:rsidTr="001A125C">
        <w:trPr>
          <w:trHeight w:val="772"/>
        </w:trPr>
        <w:tc>
          <w:tcPr>
            <w:tcW w:w="1134" w:type="dxa"/>
          </w:tcPr>
          <w:p w14:paraId="42912C53" w14:textId="47DCB092" w:rsidR="001550FE" w:rsidRPr="006762D8" w:rsidRDefault="001550FE" w:rsidP="003601E9">
            <w:pPr>
              <w:pStyle w:val="TableParagraph"/>
              <w:numPr>
                <w:ilvl w:val="1"/>
                <w:numId w:val="10"/>
              </w:numPr>
              <w:spacing w:before="1"/>
              <w:rPr>
                <w:rFonts w:ascii="Arial" w:hAnsi="Arial" w:cs="Arial"/>
              </w:rPr>
            </w:pPr>
          </w:p>
        </w:tc>
        <w:tc>
          <w:tcPr>
            <w:tcW w:w="7997" w:type="dxa"/>
          </w:tcPr>
          <w:p w14:paraId="565E4398" w14:textId="096459C4" w:rsidR="001550FE" w:rsidRPr="006762D8" w:rsidRDefault="00B949AB" w:rsidP="00421C61">
            <w:pPr>
              <w:pStyle w:val="TableParagraph"/>
              <w:spacing w:before="1"/>
              <w:ind w:right="259"/>
              <w:jc w:val="both"/>
              <w:rPr>
                <w:rFonts w:ascii="Arial" w:hAnsi="Arial" w:cs="Arial"/>
              </w:rPr>
            </w:pPr>
            <w:r>
              <w:rPr>
                <w:rFonts w:ascii="Arial" w:hAnsi="Arial" w:cs="Arial"/>
              </w:rPr>
              <w:t>if</w:t>
            </w:r>
            <w:r w:rsidR="00F92B64">
              <w:rPr>
                <w:rFonts w:ascii="Arial" w:hAnsi="Arial" w:cs="Arial"/>
              </w:rPr>
              <w:t xml:space="preserve"> </w:t>
            </w:r>
            <w:r w:rsidR="00CB4BD6">
              <w:rPr>
                <w:rFonts w:ascii="Arial" w:hAnsi="Arial" w:cs="Arial"/>
              </w:rPr>
              <w:t>applicable</w:t>
            </w:r>
            <w:r w:rsidR="001550FE" w:rsidRPr="008F4B4F">
              <w:rPr>
                <w:rFonts w:ascii="Arial" w:hAnsi="Arial" w:cs="Arial"/>
              </w:rPr>
              <w:t xml:space="preserve">, recommend </w:t>
            </w:r>
            <w:r w:rsidR="00CB4BD6" w:rsidRPr="008F4B4F">
              <w:rPr>
                <w:rFonts w:ascii="Arial" w:hAnsi="Arial" w:cs="Arial"/>
              </w:rPr>
              <w:t xml:space="preserve">the Group Remuneration Policy </w:t>
            </w:r>
            <w:r w:rsidR="001550FE" w:rsidRPr="008F4B4F">
              <w:rPr>
                <w:rFonts w:ascii="Arial" w:hAnsi="Arial" w:cs="Arial"/>
              </w:rPr>
              <w:t>to each relevant regulated EU entity Board for their approval and adoption;</w:t>
            </w:r>
          </w:p>
        </w:tc>
        <w:tc>
          <w:tcPr>
            <w:tcW w:w="640" w:type="dxa"/>
          </w:tcPr>
          <w:p w14:paraId="7953F715" w14:textId="11FF912B" w:rsidR="001550FE" w:rsidRPr="006762D8" w:rsidRDefault="001550FE" w:rsidP="001550FE">
            <w:pPr>
              <w:pStyle w:val="TableParagraph"/>
              <w:spacing w:before="1"/>
              <w:ind w:left="62"/>
              <w:jc w:val="center"/>
              <w:rPr>
                <w:rFonts w:ascii="Arial" w:hAnsi="Arial" w:cs="Arial"/>
                <w:b/>
              </w:rPr>
            </w:pPr>
          </w:p>
        </w:tc>
      </w:tr>
      <w:tr w:rsidR="001A125C" w:rsidRPr="006762D8" w14:paraId="3E7C9DAD" w14:textId="77777777" w:rsidTr="001A125C">
        <w:trPr>
          <w:trHeight w:val="2157"/>
        </w:trPr>
        <w:tc>
          <w:tcPr>
            <w:tcW w:w="1134" w:type="dxa"/>
          </w:tcPr>
          <w:p w14:paraId="6B30BCEB" w14:textId="61FFF0B9" w:rsidR="001550FE" w:rsidRPr="006762D8" w:rsidRDefault="001550FE" w:rsidP="003601E9">
            <w:pPr>
              <w:pStyle w:val="TableParagraph"/>
              <w:numPr>
                <w:ilvl w:val="1"/>
                <w:numId w:val="10"/>
              </w:numPr>
              <w:rPr>
                <w:rFonts w:ascii="Arial" w:hAnsi="Arial" w:cs="Arial"/>
              </w:rPr>
            </w:pPr>
          </w:p>
        </w:tc>
        <w:tc>
          <w:tcPr>
            <w:tcW w:w="7997" w:type="dxa"/>
          </w:tcPr>
          <w:p w14:paraId="47CC77A9" w14:textId="13F15B94" w:rsidR="001550FE" w:rsidRPr="006762D8" w:rsidRDefault="00B949AB" w:rsidP="003601E9">
            <w:pPr>
              <w:pStyle w:val="TableParagraph"/>
              <w:spacing w:before="1"/>
              <w:ind w:right="259"/>
              <w:jc w:val="both"/>
              <w:rPr>
                <w:rFonts w:ascii="Arial" w:hAnsi="Arial" w:cs="Arial"/>
              </w:rPr>
            </w:pPr>
            <w:r>
              <w:rPr>
                <w:rFonts w:ascii="Arial" w:hAnsi="Arial" w:cs="Arial"/>
              </w:rPr>
              <w:t>d</w:t>
            </w:r>
            <w:r w:rsidR="001550FE" w:rsidRPr="006762D8">
              <w:rPr>
                <w:rFonts w:ascii="Arial" w:hAnsi="Arial" w:cs="Arial"/>
              </w:rPr>
              <w:t>etermine</w:t>
            </w:r>
            <w:r w:rsidR="00AB662E">
              <w:rPr>
                <w:rFonts w:ascii="Arial" w:hAnsi="Arial" w:cs="Arial"/>
              </w:rPr>
              <w:t xml:space="preserve"> </w:t>
            </w:r>
            <w:r w:rsidR="001550FE" w:rsidRPr="006762D8">
              <w:rPr>
                <w:rFonts w:ascii="Arial" w:hAnsi="Arial" w:cs="Arial"/>
              </w:rPr>
              <w:t xml:space="preserve">the framework or broad policy for the remuneration of the Group Chief Executive, the Chair of the Board, and </w:t>
            </w:r>
            <w:r w:rsidR="001A34D8">
              <w:rPr>
                <w:rFonts w:ascii="Arial" w:hAnsi="Arial" w:cs="Arial"/>
              </w:rPr>
              <w:t xml:space="preserve">other </w:t>
            </w:r>
            <w:r w:rsidR="001550FE" w:rsidRPr="006762D8">
              <w:rPr>
                <w:rFonts w:ascii="Arial" w:hAnsi="Arial" w:cs="Arial"/>
              </w:rPr>
              <w:t>Executive Directors (the “Director Remuneration Policy”). Within the terms of the Director Remuneration Policy</w:t>
            </w:r>
            <w:r w:rsidR="00BC616C">
              <w:rPr>
                <w:rFonts w:ascii="Arial" w:hAnsi="Arial" w:cs="Arial"/>
              </w:rPr>
              <w:t xml:space="preserve"> and the limits set out in the Articles of Association</w:t>
            </w:r>
            <w:r w:rsidR="001550FE" w:rsidRPr="006762D8">
              <w:rPr>
                <w:rFonts w:ascii="Arial" w:hAnsi="Arial" w:cs="Arial"/>
              </w:rPr>
              <w:t xml:space="preserve">, the remuneration of Non-Executive Directors (excluding the Chair of the Board) shall be a matter for the Chair of the Board and the </w:t>
            </w:r>
            <w:r w:rsidR="00E043AC">
              <w:rPr>
                <w:rFonts w:ascii="Arial" w:hAnsi="Arial" w:cs="Arial"/>
              </w:rPr>
              <w:t>E</w:t>
            </w:r>
            <w:r w:rsidR="001550FE" w:rsidRPr="006762D8">
              <w:rPr>
                <w:rFonts w:ascii="Arial" w:hAnsi="Arial" w:cs="Arial"/>
              </w:rPr>
              <w:t xml:space="preserve">xecutive </w:t>
            </w:r>
            <w:r w:rsidR="00E043AC">
              <w:rPr>
                <w:rFonts w:ascii="Arial" w:hAnsi="Arial" w:cs="Arial"/>
              </w:rPr>
              <w:t>Directors</w:t>
            </w:r>
            <w:r w:rsidR="005D0231">
              <w:rPr>
                <w:rFonts w:ascii="Arial" w:hAnsi="Arial" w:cs="Arial"/>
              </w:rPr>
              <w:t xml:space="preserve"> </w:t>
            </w:r>
            <w:r w:rsidR="001550FE" w:rsidRPr="006762D8" w:rsidDel="00BC616C">
              <w:rPr>
                <w:rFonts w:ascii="Arial" w:hAnsi="Arial" w:cs="Arial"/>
              </w:rPr>
              <w:t>within the limits set out in the Articles of Association</w:t>
            </w:r>
            <w:r w:rsidR="001550FE" w:rsidRPr="006762D8">
              <w:rPr>
                <w:rFonts w:ascii="Arial" w:hAnsi="Arial" w:cs="Arial"/>
              </w:rPr>
              <w:t>;</w:t>
            </w:r>
          </w:p>
        </w:tc>
        <w:tc>
          <w:tcPr>
            <w:tcW w:w="640" w:type="dxa"/>
          </w:tcPr>
          <w:p w14:paraId="0A1764A4" w14:textId="48B26943" w:rsidR="001550FE" w:rsidRPr="006762D8" w:rsidRDefault="001550FE" w:rsidP="001550FE">
            <w:pPr>
              <w:pStyle w:val="TableParagraph"/>
              <w:ind w:left="62"/>
              <w:jc w:val="center"/>
              <w:rPr>
                <w:rFonts w:ascii="Arial" w:hAnsi="Arial" w:cs="Arial"/>
                <w:b/>
              </w:rPr>
            </w:pPr>
          </w:p>
        </w:tc>
      </w:tr>
      <w:tr w:rsidR="001A125C" w:rsidRPr="006762D8" w14:paraId="672EF91D" w14:textId="77777777" w:rsidTr="001A125C">
        <w:trPr>
          <w:trHeight w:val="2966"/>
        </w:trPr>
        <w:tc>
          <w:tcPr>
            <w:tcW w:w="1134" w:type="dxa"/>
          </w:tcPr>
          <w:p w14:paraId="4DB9D53B" w14:textId="16238BD4" w:rsidR="001550FE" w:rsidRPr="006762D8" w:rsidRDefault="001550FE" w:rsidP="003601E9">
            <w:pPr>
              <w:pStyle w:val="TableParagraph"/>
              <w:numPr>
                <w:ilvl w:val="1"/>
                <w:numId w:val="10"/>
              </w:numPr>
              <w:rPr>
                <w:rFonts w:ascii="Arial" w:hAnsi="Arial" w:cs="Arial"/>
              </w:rPr>
            </w:pPr>
          </w:p>
        </w:tc>
        <w:tc>
          <w:tcPr>
            <w:tcW w:w="7997" w:type="dxa"/>
          </w:tcPr>
          <w:p w14:paraId="6D361B09" w14:textId="570ABC16" w:rsidR="001550FE" w:rsidRPr="006762D8" w:rsidRDefault="001550FE" w:rsidP="003601E9">
            <w:pPr>
              <w:pStyle w:val="TableParagraph"/>
              <w:spacing w:before="1"/>
              <w:ind w:right="259"/>
              <w:jc w:val="both"/>
              <w:rPr>
                <w:rFonts w:ascii="Arial" w:hAnsi="Arial" w:cs="Arial"/>
              </w:rPr>
            </w:pPr>
            <w:r w:rsidRPr="006762D8">
              <w:rPr>
                <w:rFonts w:ascii="Arial" w:hAnsi="Arial" w:cs="Arial"/>
              </w:rPr>
              <w:t>in</w:t>
            </w:r>
            <w:r w:rsidRPr="003601E9">
              <w:rPr>
                <w:rFonts w:ascii="Arial" w:hAnsi="Arial" w:cs="Arial"/>
              </w:rPr>
              <w:t xml:space="preserve"> </w:t>
            </w:r>
            <w:r w:rsidRPr="006762D8">
              <w:rPr>
                <w:rFonts w:ascii="Arial" w:hAnsi="Arial" w:cs="Arial"/>
              </w:rPr>
              <w:t>determining</w:t>
            </w:r>
            <w:r w:rsidRPr="003601E9">
              <w:rPr>
                <w:rFonts w:ascii="Arial" w:hAnsi="Arial" w:cs="Arial"/>
              </w:rPr>
              <w:t xml:space="preserve"> </w:t>
            </w:r>
            <w:r w:rsidRPr="006762D8">
              <w:rPr>
                <w:rFonts w:ascii="Arial" w:hAnsi="Arial" w:cs="Arial"/>
              </w:rPr>
              <w:t>the</w:t>
            </w:r>
            <w:r w:rsidRPr="003601E9">
              <w:rPr>
                <w:rFonts w:ascii="Arial" w:hAnsi="Arial" w:cs="Arial"/>
              </w:rPr>
              <w:t xml:space="preserve"> </w:t>
            </w:r>
            <w:r w:rsidRPr="006762D8">
              <w:rPr>
                <w:rFonts w:ascii="Arial" w:hAnsi="Arial" w:cs="Arial"/>
              </w:rPr>
              <w:t>Director</w:t>
            </w:r>
            <w:r w:rsidRPr="003601E9">
              <w:rPr>
                <w:rFonts w:ascii="Arial" w:hAnsi="Arial" w:cs="Arial"/>
              </w:rPr>
              <w:t xml:space="preserve"> </w:t>
            </w:r>
            <w:r w:rsidRPr="006762D8">
              <w:rPr>
                <w:rFonts w:ascii="Arial" w:hAnsi="Arial" w:cs="Arial"/>
              </w:rPr>
              <w:t>Remuneration</w:t>
            </w:r>
            <w:r w:rsidRPr="003601E9">
              <w:rPr>
                <w:rFonts w:ascii="Arial" w:hAnsi="Arial" w:cs="Arial"/>
              </w:rPr>
              <w:t xml:space="preserve"> </w:t>
            </w:r>
            <w:r w:rsidRPr="006762D8">
              <w:rPr>
                <w:rFonts w:ascii="Arial" w:hAnsi="Arial" w:cs="Arial"/>
              </w:rPr>
              <w:t>Policy,</w:t>
            </w:r>
            <w:r w:rsidRPr="003601E9">
              <w:rPr>
                <w:rFonts w:ascii="Arial" w:hAnsi="Arial" w:cs="Arial"/>
              </w:rPr>
              <w:t xml:space="preserve"> </w:t>
            </w:r>
            <w:r w:rsidRPr="006762D8">
              <w:rPr>
                <w:rFonts w:ascii="Arial" w:hAnsi="Arial" w:cs="Arial"/>
              </w:rPr>
              <w:t>take</w:t>
            </w:r>
            <w:r w:rsidRPr="003601E9">
              <w:rPr>
                <w:rFonts w:ascii="Arial" w:hAnsi="Arial" w:cs="Arial"/>
              </w:rPr>
              <w:t xml:space="preserve"> </w:t>
            </w:r>
            <w:r w:rsidRPr="006762D8">
              <w:rPr>
                <w:rFonts w:ascii="Arial" w:hAnsi="Arial" w:cs="Arial"/>
              </w:rPr>
              <w:t>into</w:t>
            </w:r>
            <w:r w:rsidRPr="003601E9">
              <w:rPr>
                <w:rFonts w:ascii="Arial" w:hAnsi="Arial" w:cs="Arial"/>
              </w:rPr>
              <w:t xml:space="preserve"> </w:t>
            </w:r>
            <w:r w:rsidRPr="006762D8">
              <w:rPr>
                <w:rFonts w:ascii="Arial" w:hAnsi="Arial" w:cs="Arial"/>
              </w:rPr>
              <w:t>account</w:t>
            </w:r>
            <w:r w:rsidRPr="003601E9">
              <w:rPr>
                <w:rFonts w:ascii="Arial" w:hAnsi="Arial" w:cs="Arial"/>
              </w:rPr>
              <w:t xml:space="preserve"> </w:t>
            </w:r>
            <w:r w:rsidRPr="006762D8">
              <w:rPr>
                <w:rFonts w:ascii="Arial" w:hAnsi="Arial" w:cs="Arial"/>
              </w:rPr>
              <w:t>all</w:t>
            </w:r>
            <w:r w:rsidRPr="003601E9">
              <w:rPr>
                <w:rFonts w:ascii="Arial" w:hAnsi="Arial" w:cs="Arial"/>
              </w:rPr>
              <w:t xml:space="preserve"> </w:t>
            </w:r>
            <w:r w:rsidRPr="006762D8">
              <w:rPr>
                <w:rFonts w:ascii="Arial" w:hAnsi="Arial" w:cs="Arial"/>
              </w:rPr>
              <w:t xml:space="preserve">factors which it deems necessary including the pay and employment conditions across the </w:t>
            </w:r>
            <w:r w:rsidR="00AB662E">
              <w:rPr>
                <w:rFonts w:ascii="Arial" w:hAnsi="Arial" w:cs="Arial"/>
              </w:rPr>
              <w:t>G</w:t>
            </w:r>
            <w:r w:rsidRPr="006762D8">
              <w:rPr>
                <w:rFonts w:ascii="Arial" w:hAnsi="Arial" w:cs="Arial"/>
              </w:rPr>
              <w:t>roup</w:t>
            </w:r>
            <w:r w:rsidR="00BC616C">
              <w:rPr>
                <w:rFonts w:ascii="Arial" w:hAnsi="Arial" w:cs="Arial"/>
              </w:rPr>
              <w:t>,</w:t>
            </w:r>
            <w:r w:rsidRPr="006762D8">
              <w:rPr>
                <w:rFonts w:ascii="Arial" w:hAnsi="Arial" w:cs="Arial"/>
              </w:rPr>
              <w:t xml:space="preserve"> especially when determining annual salary increases. The objective of </w:t>
            </w:r>
            <w:r w:rsidR="005C530E">
              <w:rPr>
                <w:rFonts w:ascii="Arial" w:hAnsi="Arial" w:cs="Arial"/>
              </w:rPr>
              <w:t>the Director Remuneration</w:t>
            </w:r>
            <w:r w:rsidR="005C530E" w:rsidRPr="006762D8">
              <w:rPr>
                <w:rFonts w:ascii="Arial" w:hAnsi="Arial" w:cs="Arial"/>
              </w:rPr>
              <w:t xml:space="preserve"> </w:t>
            </w:r>
            <w:r w:rsidRPr="006762D8">
              <w:rPr>
                <w:rFonts w:ascii="Arial" w:hAnsi="Arial" w:cs="Arial"/>
              </w:rPr>
              <w:t>Policy</w:t>
            </w:r>
            <w:r w:rsidR="005C530E">
              <w:rPr>
                <w:rFonts w:ascii="Arial" w:hAnsi="Arial" w:cs="Arial"/>
              </w:rPr>
              <w:t>,</w:t>
            </w:r>
            <w:r w:rsidRPr="006762D8">
              <w:rPr>
                <w:rFonts w:ascii="Arial" w:hAnsi="Arial" w:cs="Arial"/>
              </w:rPr>
              <w:t xml:space="preserve"> as far as it relates to Executive Directors</w:t>
            </w:r>
            <w:r w:rsidR="005C530E">
              <w:rPr>
                <w:rFonts w:ascii="Arial" w:hAnsi="Arial" w:cs="Arial"/>
              </w:rPr>
              <w:t>,</w:t>
            </w:r>
            <w:r w:rsidRPr="006762D8">
              <w:rPr>
                <w:rFonts w:ascii="Arial" w:hAnsi="Arial" w:cs="Arial"/>
              </w:rPr>
              <w:t xml:space="preserve"> shall be to ensure that Executive Directors are provided with appropriate incentives to encourage enhanced performance and are, in a fair</w:t>
            </w:r>
            <w:r w:rsidRPr="003601E9">
              <w:rPr>
                <w:rFonts w:ascii="Arial" w:hAnsi="Arial" w:cs="Arial"/>
              </w:rPr>
              <w:t xml:space="preserve"> </w:t>
            </w:r>
            <w:r w:rsidRPr="006762D8">
              <w:rPr>
                <w:rFonts w:ascii="Arial" w:hAnsi="Arial" w:cs="Arial"/>
              </w:rPr>
              <w:t>and</w:t>
            </w:r>
            <w:r w:rsidRPr="003601E9">
              <w:rPr>
                <w:rFonts w:ascii="Arial" w:hAnsi="Arial" w:cs="Arial"/>
              </w:rPr>
              <w:t xml:space="preserve"> </w:t>
            </w:r>
            <w:r w:rsidRPr="006762D8">
              <w:rPr>
                <w:rFonts w:ascii="Arial" w:hAnsi="Arial" w:cs="Arial"/>
              </w:rPr>
              <w:t>responsible</w:t>
            </w:r>
            <w:r w:rsidRPr="003601E9">
              <w:rPr>
                <w:rFonts w:ascii="Arial" w:hAnsi="Arial" w:cs="Arial"/>
              </w:rPr>
              <w:t xml:space="preserve"> </w:t>
            </w:r>
            <w:r w:rsidRPr="006762D8">
              <w:rPr>
                <w:rFonts w:ascii="Arial" w:hAnsi="Arial" w:cs="Arial"/>
              </w:rPr>
              <w:t>manner,</w:t>
            </w:r>
            <w:r w:rsidRPr="003601E9">
              <w:rPr>
                <w:rFonts w:ascii="Arial" w:hAnsi="Arial" w:cs="Arial"/>
              </w:rPr>
              <w:t xml:space="preserve"> </w:t>
            </w:r>
            <w:r w:rsidRPr="006762D8">
              <w:rPr>
                <w:rFonts w:ascii="Arial" w:hAnsi="Arial" w:cs="Arial"/>
              </w:rPr>
              <w:t>rewarded</w:t>
            </w:r>
            <w:r w:rsidRPr="003601E9">
              <w:rPr>
                <w:rFonts w:ascii="Arial" w:hAnsi="Arial" w:cs="Arial"/>
              </w:rPr>
              <w:t xml:space="preserve"> </w:t>
            </w:r>
            <w:r w:rsidRPr="006762D8">
              <w:rPr>
                <w:rFonts w:ascii="Arial" w:hAnsi="Arial" w:cs="Arial"/>
              </w:rPr>
              <w:t>for</w:t>
            </w:r>
            <w:r w:rsidRPr="003601E9">
              <w:rPr>
                <w:rFonts w:ascii="Arial" w:hAnsi="Arial" w:cs="Arial"/>
              </w:rPr>
              <w:t xml:space="preserve"> </w:t>
            </w:r>
            <w:r w:rsidRPr="006762D8">
              <w:rPr>
                <w:rFonts w:ascii="Arial" w:hAnsi="Arial" w:cs="Arial"/>
              </w:rPr>
              <w:t>their</w:t>
            </w:r>
            <w:r w:rsidRPr="003601E9">
              <w:rPr>
                <w:rFonts w:ascii="Arial" w:hAnsi="Arial" w:cs="Arial"/>
              </w:rPr>
              <w:t xml:space="preserve"> </w:t>
            </w:r>
            <w:r w:rsidRPr="006762D8">
              <w:rPr>
                <w:rFonts w:ascii="Arial" w:hAnsi="Arial" w:cs="Arial"/>
              </w:rPr>
              <w:t>individual</w:t>
            </w:r>
            <w:r w:rsidRPr="003601E9">
              <w:rPr>
                <w:rFonts w:ascii="Arial" w:hAnsi="Arial" w:cs="Arial"/>
              </w:rPr>
              <w:t xml:space="preserve"> </w:t>
            </w:r>
            <w:r w:rsidRPr="006762D8">
              <w:rPr>
                <w:rFonts w:ascii="Arial" w:hAnsi="Arial" w:cs="Arial"/>
              </w:rPr>
              <w:t>contributions</w:t>
            </w:r>
            <w:r w:rsidRPr="003601E9">
              <w:rPr>
                <w:rFonts w:ascii="Arial" w:hAnsi="Arial" w:cs="Arial"/>
              </w:rPr>
              <w:t xml:space="preserve"> </w:t>
            </w:r>
            <w:r w:rsidRPr="006762D8">
              <w:rPr>
                <w:rFonts w:ascii="Arial" w:hAnsi="Arial" w:cs="Arial"/>
              </w:rPr>
              <w:t>to</w:t>
            </w:r>
            <w:r w:rsidRPr="003601E9">
              <w:rPr>
                <w:rFonts w:ascii="Arial" w:hAnsi="Arial" w:cs="Arial"/>
              </w:rPr>
              <w:t xml:space="preserve"> </w:t>
            </w:r>
            <w:r w:rsidRPr="006762D8">
              <w:rPr>
                <w:rFonts w:ascii="Arial" w:hAnsi="Arial" w:cs="Arial"/>
              </w:rPr>
              <w:t>the success of the Company having regard to views of shareholders and other stakeholders</w:t>
            </w:r>
            <w:r w:rsidR="00DC0789">
              <w:rPr>
                <w:rFonts w:ascii="Arial" w:hAnsi="Arial" w:cs="Arial"/>
              </w:rPr>
              <w:t xml:space="preserve"> and s</w:t>
            </w:r>
            <w:r w:rsidRPr="006762D8">
              <w:rPr>
                <w:rFonts w:ascii="Arial" w:hAnsi="Arial" w:cs="Arial"/>
              </w:rPr>
              <w:t>ubject to</w:t>
            </w:r>
            <w:r w:rsidR="00DC0789">
              <w:rPr>
                <w:rFonts w:ascii="Arial" w:hAnsi="Arial" w:cs="Arial"/>
              </w:rPr>
              <w:t>,</w:t>
            </w:r>
            <w:r w:rsidRPr="006762D8">
              <w:rPr>
                <w:rFonts w:ascii="Arial" w:hAnsi="Arial" w:cs="Arial"/>
              </w:rPr>
              <w:t xml:space="preserve"> and consistent with compliance with the risk management policies of the </w:t>
            </w:r>
            <w:r w:rsidR="00AB662E">
              <w:rPr>
                <w:rFonts w:ascii="Arial" w:hAnsi="Arial" w:cs="Arial"/>
              </w:rPr>
              <w:t>G</w:t>
            </w:r>
            <w:r w:rsidRPr="006762D8">
              <w:rPr>
                <w:rFonts w:ascii="Arial" w:hAnsi="Arial" w:cs="Arial"/>
              </w:rPr>
              <w:t>roup’s Remuneration</w:t>
            </w:r>
            <w:r w:rsidRPr="003601E9">
              <w:rPr>
                <w:rFonts w:ascii="Arial" w:hAnsi="Arial" w:cs="Arial"/>
              </w:rPr>
              <w:t xml:space="preserve"> </w:t>
            </w:r>
            <w:r w:rsidRPr="006762D8">
              <w:rPr>
                <w:rFonts w:ascii="Arial" w:hAnsi="Arial" w:cs="Arial"/>
              </w:rPr>
              <w:t>Policy;</w:t>
            </w:r>
          </w:p>
        </w:tc>
        <w:tc>
          <w:tcPr>
            <w:tcW w:w="640" w:type="dxa"/>
          </w:tcPr>
          <w:p w14:paraId="4FB829F8" w14:textId="51DE69F7" w:rsidR="001550FE" w:rsidRPr="006762D8" w:rsidRDefault="001550FE" w:rsidP="001550FE">
            <w:pPr>
              <w:pStyle w:val="TableParagraph"/>
              <w:ind w:left="62"/>
              <w:jc w:val="center"/>
              <w:rPr>
                <w:rFonts w:ascii="Arial" w:hAnsi="Arial" w:cs="Arial"/>
                <w:b/>
              </w:rPr>
            </w:pPr>
          </w:p>
        </w:tc>
      </w:tr>
      <w:tr w:rsidR="001A125C" w:rsidRPr="006762D8" w14:paraId="6E939221" w14:textId="77777777" w:rsidTr="001A125C">
        <w:trPr>
          <w:trHeight w:val="1856"/>
        </w:trPr>
        <w:tc>
          <w:tcPr>
            <w:tcW w:w="1134" w:type="dxa"/>
          </w:tcPr>
          <w:p w14:paraId="1017CE91" w14:textId="2CB5F779" w:rsidR="001550FE" w:rsidRPr="006762D8" w:rsidRDefault="001550FE" w:rsidP="003601E9">
            <w:pPr>
              <w:pStyle w:val="TableParagraph"/>
              <w:numPr>
                <w:ilvl w:val="1"/>
                <w:numId w:val="10"/>
              </w:numPr>
              <w:rPr>
                <w:rFonts w:ascii="Arial" w:hAnsi="Arial" w:cs="Arial"/>
              </w:rPr>
            </w:pPr>
          </w:p>
        </w:tc>
        <w:tc>
          <w:tcPr>
            <w:tcW w:w="7997" w:type="dxa"/>
          </w:tcPr>
          <w:p w14:paraId="34FB72CA" w14:textId="287C9A39" w:rsidR="006A0DB7" w:rsidRPr="003601E9" w:rsidRDefault="00A33FE5" w:rsidP="003601E9">
            <w:pPr>
              <w:pStyle w:val="TableParagraph"/>
              <w:spacing w:before="1"/>
              <w:ind w:right="259"/>
              <w:jc w:val="both"/>
              <w:rPr>
                <w:rFonts w:ascii="Arial" w:hAnsi="Arial" w:cs="Arial"/>
              </w:rPr>
            </w:pPr>
            <w:r>
              <w:rPr>
                <w:rFonts w:ascii="Arial" w:hAnsi="Arial" w:cs="Arial"/>
              </w:rPr>
              <w:t>D</w:t>
            </w:r>
            <w:r w:rsidR="001550FE" w:rsidRPr="006762D8">
              <w:rPr>
                <w:rFonts w:ascii="Arial" w:hAnsi="Arial" w:cs="Arial"/>
              </w:rPr>
              <w:t>etermine the total individual remuneration package of each Executive</w:t>
            </w:r>
            <w:r w:rsidR="001550FE" w:rsidRPr="003601E9">
              <w:rPr>
                <w:rFonts w:ascii="Arial" w:hAnsi="Arial" w:cs="Arial"/>
              </w:rPr>
              <w:t xml:space="preserve"> D</w:t>
            </w:r>
            <w:r w:rsidR="001550FE" w:rsidRPr="006762D8">
              <w:rPr>
                <w:rFonts w:ascii="Arial" w:hAnsi="Arial" w:cs="Arial"/>
              </w:rPr>
              <w:t>irector,</w:t>
            </w:r>
            <w:r w:rsidR="001550FE" w:rsidRPr="003601E9">
              <w:rPr>
                <w:rFonts w:ascii="Arial" w:hAnsi="Arial" w:cs="Arial"/>
              </w:rPr>
              <w:t xml:space="preserve"> </w:t>
            </w:r>
            <w:r w:rsidR="001550FE" w:rsidRPr="006762D8">
              <w:rPr>
                <w:rFonts w:ascii="Arial" w:hAnsi="Arial" w:cs="Arial"/>
              </w:rPr>
              <w:t>including</w:t>
            </w:r>
            <w:r w:rsidR="001550FE" w:rsidRPr="003601E9">
              <w:rPr>
                <w:rFonts w:ascii="Arial" w:hAnsi="Arial" w:cs="Arial"/>
              </w:rPr>
              <w:t xml:space="preserve"> </w:t>
            </w:r>
            <w:r w:rsidR="001550FE" w:rsidRPr="006762D8">
              <w:rPr>
                <w:rFonts w:ascii="Arial" w:hAnsi="Arial" w:cs="Arial"/>
              </w:rPr>
              <w:t>bonuses,</w:t>
            </w:r>
            <w:r w:rsidR="001550FE" w:rsidRPr="003601E9">
              <w:rPr>
                <w:rFonts w:ascii="Arial" w:hAnsi="Arial" w:cs="Arial"/>
              </w:rPr>
              <w:t xml:space="preserve"> </w:t>
            </w:r>
            <w:r w:rsidR="001550FE" w:rsidRPr="006762D8">
              <w:rPr>
                <w:rFonts w:ascii="Arial" w:hAnsi="Arial" w:cs="Arial"/>
              </w:rPr>
              <w:t>incentive</w:t>
            </w:r>
            <w:r w:rsidR="001550FE" w:rsidRPr="003601E9">
              <w:rPr>
                <w:rFonts w:ascii="Arial" w:hAnsi="Arial" w:cs="Arial"/>
              </w:rPr>
              <w:t xml:space="preserve"> </w:t>
            </w:r>
            <w:r w:rsidR="001550FE" w:rsidRPr="006762D8">
              <w:rPr>
                <w:rFonts w:ascii="Arial" w:hAnsi="Arial" w:cs="Arial"/>
              </w:rPr>
              <w:t>payments</w:t>
            </w:r>
            <w:r w:rsidR="001550FE" w:rsidRPr="003601E9">
              <w:rPr>
                <w:rFonts w:ascii="Arial" w:hAnsi="Arial" w:cs="Arial"/>
              </w:rPr>
              <w:t xml:space="preserve"> </w:t>
            </w:r>
            <w:r w:rsidR="001550FE" w:rsidRPr="006762D8">
              <w:rPr>
                <w:rFonts w:ascii="Arial" w:hAnsi="Arial" w:cs="Arial"/>
              </w:rPr>
              <w:t>and</w:t>
            </w:r>
            <w:r w:rsidR="001550FE" w:rsidRPr="003601E9">
              <w:rPr>
                <w:rFonts w:ascii="Arial" w:hAnsi="Arial" w:cs="Arial"/>
              </w:rPr>
              <w:t xml:space="preserve"> </w:t>
            </w:r>
            <w:r w:rsidR="001550FE" w:rsidRPr="006762D8">
              <w:rPr>
                <w:rFonts w:ascii="Arial" w:hAnsi="Arial" w:cs="Arial"/>
              </w:rPr>
              <w:t>share</w:t>
            </w:r>
            <w:r w:rsidR="001550FE" w:rsidRPr="003601E9">
              <w:rPr>
                <w:rFonts w:ascii="Arial" w:hAnsi="Arial" w:cs="Arial"/>
              </w:rPr>
              <w:t xml:space="preserve"> </w:t>
            </w:r>
            <w:r w:rsidR="001550FE" w:rsidRPr="006762D8">
              <w:rPr>
                <w:rFonts w:ascii="Arial" w:hAnsi="Arial" w:cs="Arial"/>
              </w:rPr>
              <w:t>options or other share awards</w:t>
            </w:r>
            <w:r w:rsidR="00E730C9">
              <w:rPr>
                <w:rFonts w:ascii="Arial" w:hAnsi="Arial" w:cs="Arial"/>
              </w:rPr>
              <w:t>,</w:t>
            </w:r>
            <w:r w:rsidR="001550FE" w:rsidRPr="006762D8">
              <w:rPr>
                <w:rFonts w:ascii="Arial" w:hAnsi="Arial" w:cs="Arial"/>
              </w:rPr>
              <w:t xml:space="preserve"> and </w:t>
            </w:r>
            <w:r w:rsidR="00E730C9">
              <w:rPr>
                <w:rFonts w:ascii="Arial" w:hAnsi="Arial" w:cs="Arial"/>
              </w:rPr>
              <w:t xml:space="preserve">also </w:t>
            </w:r>
            <w:r w:rsidR="001550FE" w:rsidRPr="006762D8">
              <w:rPr>
                <w:rFonts w:ascii="Arial" w:hAnsi="Arial" w:cs="Arial"/>
              </w:rPr>
              <w:t>in respect of the Chair of the Board</w:t>
            </w:r>
            <w:r w:rsidRPr="006762D8">
              <w:rPr>
                <w:rFonts w:ascii="Arial" w:hAnsi="Arial" w:cs="Arial"/>
              </w:rPr>
              <w:t xml:space="preserve"> within the terms of the agreed Director Remuneration Policy and in consultation with the Chair of the Board and/or Chief Executive as appropriate</w:t>
            </w:r>
            <w:r w:rsidR="001550FE" w:rsidRPr="006762D8">
              <w:rPr>
                <w:rFonts w:ascii="Arial" w:hAnsi="Arial" w:cs="Arial"/>
              </w:rPr>
              <w:t>;</w:t>
            </w:r>
          </w:p>
          <w:p w14:paraId="2A80066D" w14:textId="77777777" w:rsidR="006A0DB7" w:rsidRPr="003601E9" w:rsidRDefault="006A0DB7" w:rsidP="003601E9">
            <w:pPr>
              <w:spacing w:before="1"/>
              <w:ind w:right="259"/>
              <w:rPr>
                <w:rFonts w:ascii="Arial" w:hAnsi="Arial" w:cs="Arial"/>
              </w:rPr>
            </w:pPr>
          </w:p>
          <w:p w14:paraId="21EA39CF" w14:textId="77777777" w:rsidR="006A0DB7" w:rsidRPr="003601E9" w:rsidRDefault="006A0DB7" w:rsidP="003601E9">
            <w:pPr>
              <w:spacing w:before="1"/>
              <w:ind w:right="259"/>
              <w:rPr>
                <w:rFonts w:ascii="Arial" w:hAnsi="Arial" w:cs="Arial"/>
              </w:rPr>
            </w:pPr>
          </w:p>
          <w:p w14:paraId="0C8DA96D" w14:textId="77777777" w:rsidR="006A0DB7" w:rsidRPr="003601E9" w:rsidRDefault="006A0DB7" w:rsidP="003601E9">
            <w:pPr>
              <w:spacing w:before="1"/>
              <w:ind w:right="259"/>
              <w:rPr>
                <w:rFonts w:ascii="Arial" w:hAnsi="Arial" w:cs="Arial"/>
              </w:rPr>
            </w:pPr>
          </w:p>
          <w:p w14:paraId="4D8BAE15" w14:textId="77777777" w:rsidR="006A0DB7" w:rsidRPr="003601E9" w:rsidRDefault="006A0DB7" w:rsidP="003601E9">
            <w:pPr>
              <w:spacing w:before="1"/>
              <w:ind w:right="259"/>
              <w:rPr>
                <w:rFonts w:ascii="Arial" w:hAnsi="Arial" w:cs="Arial"/>
              </w:rPr>
            </w:pPr>
          </w:p>
          <w:p w14:paraId="79732C10" w14:textId="02A22729" w:rsidR="006A0DB7" w:rsidRPr="003601E9" w:rsidRDefault="006A0DB7" w:rsidP="003601E9">
            <w:pPr>
              <w:tabs>
                <w:tab w:val="left" w:pos="2670"/>
              </w:tabs>
              <w:spacing w:before="1"/>
              <w:ind w:right="259"/>
              <w:rPr>
                <w:rFonts w:ascii="Arial" w:hAnsi="Arial" w:cs="Arial"/>
              </w:rPr>
            </w:pPr>
            <w:r w:rsidRPr="003601E9">
              <w:rPr>
                <w:rFonts w:ascii="Arial" w:hAnsi="Arial" w:cs="Arial"/>
              </w:rPr>
              <w:tab/>
            </w:r>
          </w:p>
        </w:tc>
        <w:tc>
          <w:tcPr>
            <w:tcW w:w="640" w:type="dxa"/>
          </w:tcPr>
          <w:p w14:paraId="526E5A85" w14:textId="746251F3" w:rsidR="001550FE" w:rsidRPr="006762D8" w:rsidRDefault="001550FE" w:rsidP="001550FE">
            <w:pPr>
              <w:pStyle w:val="TableParagraph"/>
              <w:ind w:left="62"/>
              <w:jc w:val="center"/>
              <w:rPr>
                <w:rFonts w:ascii="Arial" w:hAnsi="Arial" w:cs="Arial"/>
                <w:b/>
              </w:rPr>
            </w:pPr>
          </w:p>
        </w:tc>
      </w:tr>
      <w:tr w:rsidR="001A125C" w:rsidRPr="006762D8" w14:paraId="3F35AE81" w14:textId="77777777" w:rsidTr="001A125C">
        <w:trPr>
          <w:trHeight w:val="1485"/>
        </w:trPr>
        <w:tc>
          <w:tcPr>
            <w:tcW w:w="1134" w:type="dxa"/>
          </w:tcPr>
          <w:p w14:paraId="4CAB5B71" w14:textId="5C5B685F" w:rsidR="001550FE" w:rsidRPr="006762D8" w:rsidRDefault="001550FE" w:rsidP="003601E9">
            <w:pPr>
              <w:pStyle w:val="TableParagraph"/>
              <w:numPr>
                <w:ilvl w:val="1"/>
                <w:numId w:val="10"/>
              </w:numPr>
              <w:spacing w:before="1"/>
              <w:rPr>
                <w:rFonts w:ascii="Arial" w:hAnsi="Arial" w:cs="Arial"/>
              </w:rPr>
            </w:pPr>
          </w:p>
        </w:tc>
        <w:tc>
          <w:tcPr>
            <w:tcW w:w="7997" w:type="dxa"/>
          </w:tcPr>
          <w:p w14:paraId="64DFDF02" w14:textId="4F354FF4" w:rsidR="001550FE" w:rsidRPr="006762D8" w:rsidRDefault="001550FE" w:rsidP="003601E9">
            <w:pPr>
              <w:pStyle w:val="TableParagraph"/>
              <w:spacing w:before="1"/>
              <w:ind w:right="259"/>
              <w:jc w:val="both"/>
              <w:rPr>
                <w:rFonts w:ascii="Arial" w:hAnsi="Arial" w:cs="Arial"/>
              </w:rPr>
            </w:pPr>
            <w:r w:rsidRPr="006762D8">
              <w:rPr>
                <w:rFonts w:ascii="Arial" w:hAnsi="Arial" w:cs="Arial"/>
              </w:rPr>
              <w:t xml:space="preserve">determine the policy for the level and structure of remuneration for </w:t>
            </w:r>
            <w:r w:rsidRPr="00E246B9">
              <w:rPr>
                <w:rFonts w:ascii="Arial" w:hAnsi="Arial" w:cs="Arial"/>
              </w:rPr>
              <w:t>all Material Risk Takers (‘MRTs’) identified under the Investment Firm Prudential Regime (‘IFPR’) and IFD</w:t>
            </w:r>
            <w:r w:rsidR="006C48F0">
              <w:rPr>
                <w:rFonts w:ascii="Arial" w:hAnsi="Arial" w:cs="Arial"/>
              </w:rPr>
              <w:t xml:space="preserve"> and</w:t>
            </w:r>
            <w:r w:rsidR="003601E9">
              <w:rPr>
                <w:rFonts w:ascii="Arial" w:hAnsi="Arial" w:cs="Arial"/>
              </w:rPr>
              <w:t xml:space="preserve"> </w:t>
            </w:r>
            <w:r>
              <w:rPr>
                <w:rFonts w:ascii="Arial" w:hAnsi="Arial" w:cs="Arial"/>
              </w:rPr>
              <w:t>G</w:t>
            </w:r>
            <w:r w:rsidRPr="006762D8">
              <w:rPr>
                <w:rFonts w:ascii="Arial" w:hAnsi="Arial" w:cs="Arial"/>
              </w:rPr>
              <w:t xml:space="preserve">roup senior management (being the Executive Committee or the first layer of management below </w:t>
            </w:r>
            <w:r w:rsidR="00AB662E">
              <w:rPr>
                <w:rFonts w:ascii="Arial" w:hAnsi="Arial" w:cs="Arial"/>
              </w:rPr>
              <w:t>B</w:t>
            </w:r>
            <w:r w:rsidRPr="006762D8">
              <w:rPr>
                <w:rFonts w:ascii="Arial" w:hAnsi="Arial" w:cs="Arial"/>
              </w:rPr>
              <w:t xml:space="preserve">oard level including the Company Secretary, </w:t>
            </w:r>
            <w:r>
              <w:rPr>
                <w:rFonts w:ascii="Arial" w:hAnsi="Arial" w:cs="Arial"/>
              </w:rPr>
              <w:t xml:space="preserve">the Group Chief Risk Officer, </w:t>
            </w:r>
            <w:r w:rsidRPr="006762D8">
              <w:rPr>
                <w:rFonts w:ascii="Arial" w:hAnsi="Arial" w:cs="Arial"/>
              </w:rPr>
              <w:t xml:space="preserve">the Group Chief Compliance Officer and Global Head of Internal Audit) within the terms of the </w:t>
            </w:r>
            <w:r w:rsidR="00AB662E">
              <w:rPr>
                <w:rFonts w:ascii="Arial" w:hAnsi="Arial" w:cs="Arial"/>
              </w:rPr>
              <w:t>G</w:t>
            </w:r>
            <w:r w:rsidRPr="006762D8">
              <w:rPr>
                <w:rFonts w:ascii="Arial" w:hAnsi="Arial" w:cs="Arial"/>
              </w:rPr>
              <w:t>roup Remuneration Policy</w:t>
            </w:r>
            <w:r w:rsidR="00AB628D">
              <w:rPr>
                <w:rFonts w:ascii="Arial" w:hAnsi="Arial" w:cs="Arial"/>
              </w:rPr>
              <w:t xml:space="preserve">. </w:t>
            </w:r>
            <w:r w:rsidR="00564CCA" w:rsidRPr="006762D8">
              <w:rPr>
                <w:rFonts w:ascii="Arial" w:hAnsi="Arial" w:cs="Arial"/>
              </w:rPr>
              <w:t xml:space="preserve"> In determining such packages and arrangements, give due regard to any relevant legal requirements, the </w:t>
            </w:r>
            <w:r w:rsidR="00564CCA" w:rsidRPr="007653EB">
              <w:rPr>
                <w:rFonts w:ascii="Arial" w:hAnsi="Arial" w:cs="Arial"/>
              </w:rPr>
              <w:t>provisions and recommendations in the UK Corporate Governance Code, in particular in respect of vesting and holding periods and any post-employment</w:t>
            </w:r>
            <w:r w:rsidR="00564CCA" w:rsidRPr="00FD0AD4">
              <w:rPr>
                <w:rFonts w:ascii="Arial" w:hAnsi="Arial" w:cs="Arial"/>
              </w:rPr>
              <w:t xml:space="preserve"> </w:t>
            </w:r>
            <w:r w:rsidR="00564CCA" w:rsidRPr="007653EB">
              <w:rPr>
                <w:rFonts w:ascii="Arial" w:hAnsi="Arial" w:cs="Arial"/>
              </w:rPr>
              <w:t>shareholding</w:t>
            </w:r>
            <w:r w:rsidR="00564CCA" w:rsidRPr="00FD0AD4">
              <w:rPr>
                <w:rFonts w:ascii="Arial" w:hAnsi="Arial" w:cs="Arial"/>
              </w:rPr>
              <w:t xml:space="preserve"> </w:t>
            </w:r>
            <w:r w:rsidR="00564CCA" w:rsidRPr="007653EB">
              <w:rPr>
                <w:rFonts w:ascii="Arial" w:hAnsi="Arial" w:cs="Arial"/>
              </w:rPr>
              <w:t>requirements,</w:t>
            </w:r>
            <w:r w:rsidR="00564CCA" w:rsidRPr="00FD0AD4">
              <w:rPr>
                <w:rFonts w:ascii="Arial" w:hAnsi="Arial" w:cs="Arial"/>
              </w:rPr>
              <w:t xml:space="preserve"> </w:t>
            </w:r>
            <w:r w:rsidR="00564CCA" w:rsidRPr="007653EB">
              <w:rPr>
                <w:rFonts w:ascii="Arial" w:hAnsi="Arial" w:cs="Arial"/>
              </w:rPr>
              <w:t>the</w:t>
            </w:r>
            <w:r w:rsidR="00564CCA">
              <w:rPr>
                <w:rFonts w:ascii="Arial" w:hAnsi="Arial" w:cs="Arial"/>
              </w:rPr>
              <w:t xml:space="preserve"> FCA’s MIFIDPRU Remuneration Code, the EBA Guidelines on sound remuneration policies under the IFD, [the relevant German regulation implementing the IFD]</w:t>
            </w:r>
            <w:r w:rsidR="00564CCA" w:rsidRPr="007653EB">
              <w:rPr>
                <w:rFonts w:ascii="Arial" w:hAnsi="Arial" w:cs="Arial"/>
              </w:rPr>
              <w:t>, the Listing Rules and associated</w:t>
            </w:r>
            <w:r w:rsidR="00564CCA" w:rsidRPr="00FD0AD4">
              <w:rPr>
                <w:rFonts w:ascii="Arial" w:hAnsi="Arial" w:cs="Arial"/>
              </w:rPr>
              <w:t xml:space="preserve"> </w:t>
            </w:r>
            <w:r w:rsidR="00564CCA" w:rsidRPr="007653EB">
              <w:rPr>
                <w:rFonts w:ascii="Arial" w:hAnsi="Arial" w:cs="Arial"/>
              </w:rPr>
              <w:t>guidance.</w:t>
            </w:r>
          </w:p>
        </w:tc>
        <w:tc>
          <w:tcPr>
            <w:tcW w:w="640" w:type="dxa"/>
          </w:tcPr>
          <w:p w14:paraId="7B7B2B36" w14:textId="0A499667" w:rsidR="001550FE" w:rsidRPr="006762D8" w:rsidRDefault="001550FE" w:rsidP="001550FE">
            <w:pPr>
              <w:pStyle w:val="TableParagraph"/>
              <w:spacing w:before="1"/>
              <w:ind w:left="58"/>
              <w:jc w:val="center"/>
              <w:rPr>
                <w:rFonts w:ascii="Arial" w:hAnsi="Arial" w:cs="Arial"/>
                <w:b/>
              </w:rPr>
            </w:pPr>
          </w:p>
        </w:tc>
      </w:tr>
      <w:tr w:rsidR="001A125C" w:rsidRPr="006762D8" w14:paraId="30DB6CBF" w14:textId="77777777" w:rsidTr="001A125C">
        <w:trPr>
          <w:trHeight w:val="809"/>
        </w:trPr>
        <w:tc>
          <w:tcPr>
            <w:tcW w:w="1134" w:type="dxa"/>
          </w:tcPr>
          <w:p w14:paraId="38E728FF" w14:textId="434FD6F9" w:rsidR="00C033EE" w:rsidRPr="006762D8" w:rsidRDefault="00C033EE" w:rsidP="003601E9">
            <w:pPr>
              <w:pStyle w:val="TableParagraph"/>
              <w:numPr>
                <w:ilvl w:val="1"/>
                <w:numId w:val="10"/>
              </w:numPr>
              <w:rPr>
                <w:rFonts w:ascii="Arial" w:hAnsi="Arial" w:cs="Arial"/>
              </w:rPr>
            </w:pPr>
          </w:p>
        </w:tc>
        <w:tc>
          <w:tcPr>
            <w:tcW w:w="7997" w:type="dxa"/>
          </w:tcPr>
          <w:p w14:paraId="171CA0A5" w14:textId="4FD361AD" w:rsidR="00C033EE" w:rsidRPr="006762D8" w:rsidRDefault="00C033EE" w:rsidP="003601E9">
            <w:pPr>
              <w:pStyle w:val="TableParagraph"/>
              <w:spacing w:before="1"/>
              <w:ind w:right="259"/>
              <w:jc w:val="both"/>
              <w:rPr>
                <w:rFonts w:ascii="Arial" w:hAnsi="Arial" w:cs="Arial"/>
              </w:rPr>
            </w:pPr>
            <w:r w:rsidRPr="00E246B9">
              <w:rPr>
                <w:rFonts w:ascii="Arial" w:hAnsi="Arial" w:cs="Arial"/>
              </w:rPr>
              <w:t xml:space="preserve">review and approve </w:t>
            </w:r>
            <w:r>
              <w:rPr>
                <w:rFonts w:ascii="Arial" w:hAnsi="Arial" w:cs="Arial"/>
              </w:rPr>
              <w:t xml:space="preserve">total individual </w:t>
            </w:r>
            <w:r w:rsidRPr="00E246B9">
              <w:rPr>
                <w:rFonts w:ascii="Arial" w:hAnsi="Arial" w:cs="Arial"/>
              </w:rPr>
              <w:t xml:space="preserve">remuneration </w:t>
            </w:r>
            <w:r>
              <w:rPr>
                <w:rFonts w:ascii="Arial" w:hAnsi="Arial" w:cs="Arial"/>
              </w:rPr>
              <w:t xml:space="preserve">packages </w:t>
            </w:r>
            <w:r w:rsidRPr="00E246B9">
              <w:rPr>
                <w:rFonts w:ascii="Arial" w:hAnsi="Arial" w:cs="Arial"/>
              </w:rPr>
              <w:t xml:space="preserve">for all </w:t>
            </w:r>
            <w:r w:rsidRPr="0078786E">
              <w:rPr>
                <w:rFonts w:ascii="Arial" w:hAnsi="Arial" w:cs="Arial"/>
              </w:rPr>
              <w:t>MRTs</w:t>
            </w:r>
            <w:r w:rsidR="006C48F0">
              <w:rPr>
                <w:rFonts w:ascii="Arial" w:hAnsi="Arial" w:cs="Arial"/>
              </w:rPr>
              <w:t xml:space="preserve"> and</w:t>
            </w:r>
            <w:r>
              <w:rPr>
                <w:rFonts w:ascii="Arial" w:hAnsi="Arial" w:cs="Arial"/>
              </w:rPr>
              <w:t xml:space="preserve"> </w:t>
            </w:r>
            <w:r w:rsidRPr="0078786E">
              <w:rPr>
                <w:rFonts w:ascii="Arial" w:hAnsi="Arial" w:cs="Arial"/>
              </w:rPr>
              <w:t xml:space="preserve">Group senior management (being the Executive Committee or the first layer of management below </w:t>
            </w:r>
            <w:r>
              <w:rPr>
                <w:rFonts w:ascii="Arial" w:hAnsi="Arial" w:cs="Arial"/>
              </w:rPr>
              <w:t>B</w:t>
            </w:r>
            <w:r w:rsidRPr="0078786E">
              <w:rPr>
                <w:rFonts w:ascii="Arial" w:hAnsi="Arial" w:cs="Arial"/>
              </w:rPr>
              <w:t>oard level including the Company Secretary the Group Chief Risk Officer, the Group Chief Compliance Officer and Global Head of Internal Audit</w:t>
            </w:r>
            <w:r w:rsidR="00812EDD">
              <w:rPr>
                <w:rFonts w:ascii="Arial" w:hAnsi="Arial" w:cs="Arial"/>
              </w:rPr>
              <w:t>)</w:t>
            </w:r>
            <w:r>
              <w:rPr>
                <w:rFonts w:ascii="Arial" w:hAnsi="Arial" w:cs="Arial"/>
              </w:rPr>
              <w:t xml:space="preserve"> </w:t>
            </w:r>
            <w:r w:rsidRPr="00E246B9">
              <w:rPr>
                <w:rFonts w:ascii="Arial" w:hAnsi="Arial" w:cs="Arial"/>
              </w:rPr>
              <w:t>and their supporting performance assessments to ensure these take account of all relevant financial and non-financial metrics, and personal and conduct behaviours used to assess the overall performance of each</w:t>
            </w:r>
            <w:r>
              <w:rPr>
                <w:rFonts w:ascii="Arial" w:hAnsi="Arial" w:cs="Arial"/>
              </w:rPr>
              <w:t xml:space="preserve"> individual;</w:t>
            </w:r>
            <w:r w:rsidRPr="00E246B9">
              <w:rPr>
                <w:rFonts w:ascii="Arial" w:hAnsi="Arial" w:cs="Arial"/>
              </w:rPr>
              <w:t xml:space="preserve"> </w:t>
            </w:r>
          </w:p>
        </w:tc>
        <w:tc>
          <w:tcPr>
            <w:tcW w:w="640" w:type="dxa"/>
          </w:tcPr>
          <w:p w14:paraId="404BA3E5" w14:textId="68F6E79F" w:rsidR="00C033EE" w:rsidRPr="006762D8" w:rsidRDefault="00C033EE" w:rsidP="00C033EE">
            <w:pPr>
              <w:pStyle w:val="TableParagraph"/>
              <w:ind w:left="56"/>
              <w:jc w:val="center"/>
              <w:rPr>
                <w:rFonts w:ascii="Arial" w:hAnsi="Arial" w:cs="Arial"/>
                <w:b/>
              </w:rPr>
            </w:pPr>
          </w:p>
        </w:tc>
      </w:tr>
      <w:tr w:rsidR="001A125C" w:rsidRPr="006762D8" w14:paraId="501F32CD" w14:textId="77777777" w:rsidTr="001A125C">
        <w:trPr>
          <w:trHeight w:val="809"/>
        </w:trPr>
        <w:tc>
          <w:tcPr>
            <w:tcW w:w="1134" w:type="dxa"/>
          </w:tcPr>
          <w:p w14:paraId="32139BE3" w14:textId="1B2F6237" w:rsidR="00C033EE" w:rsidRDefault="00C033EE" w:rsidP="003601E9">
            <w:pPr>
              <w:pStyle w:val="TableParagraph"/>
              <w:numPr>
                <w:ilvl w:val="1"/>
                <w:numId w:val="10"/>
              </w:numPr>
              <w:rPr>
                <w:rFonts w:ascii="Arial" w:hAnsi="Arial" w:cs="Arial"/>
              </w:rPr>
            </w:pPr>
          </w:p>
        </w:tc>
        <w:tc>
          <w:tcPr>
            <w:tcW w:w="7997" w:type="dxa"/>
          </w:tcPr>
          <w:p w14:paraId="35502969" w14:textId="122CEB4A" w:rsidR="00C033EE" w:rsidRPr="00E246B9" w:rsidRDefault="00C033EE" w:rsidP="003601E9">
            <w:pPr>
              <w:pStyle w:val="TableParagraph"/>
              <w:spacing w:before="1"/>
              <w:ind w:right="259"/>
              <w:jc w:val="both"/>
              <w:rPr>
                <w:rFonts w:ascii="Arial" w:hAnsi="Arial" w:cs="Arial"/>
              </w:rPr>
            </w:pPr>
            <w:r w:rsidRPr="00A85826">
              <w:rPr>
                <w:rFonts w:ascii="Arial" w:hAnsi="Arial" w:cs="Arial"/>
              </w:rPr>
              <w:t>oversee IG Group’s MRT</w:t>
            </w:r>
            <w:r>
              <w:rPr>
                <w:rFonts w:ascii="Arial" w:hAnsi="Arial" w:cs="Arial"/>
              </w:rPr>
              <w:t xml:space="preserve"> </w:t>
            </w:r>
            <w:r w:rsidRPr="00A85826">
              <w:rPr>
                <w:rFonts w:ascii="Arial" w:hAnsi="Arial" w:cs="Arial"/>
              </w:rPr>
              <w:t>identification methodology, as well as review and approve the final list of MRTs on at least an annual basis including any proposed individual exclusions under the IFD quantitative criteria</w:t>
            </w:r>
            <w:r>
              <w:rPr>
                <w:rFonts w:ascii="Arial" w:hAnsi="Arial" w:cs="Arial"/>
              </w:rPr>
              <w:t>;</w:t>
            </w:r>
            <w:r w:rsidRPr="00A85826">
              <w:rPr>
                <w:rFonts w:ascii="Arial" w:hAnsi="Arial" w:cs="Arial"/>
              </w:rPr>
              <w:t xml:space="preserve">  </w:t>
            </w:r>
          </w:p>
        </w:tc>
        <w:tc>
          <w:tcPr>
            <w:tcW w:w="640" w:type="dxa"/>
          </w:tcPr>
          <w:p w14:paraId="5F5161BB" w14:textId="03D78DC8" w:rsidR="00C033EE" w:rsidRDefault="00C033EE" w:rsidP="00C033EE">
            <w:pPr>
              <w:pStyle w:val="TableParagraph"/>
              <w:ind w:left="56"/>
              <w:jc w:val="center"/>
              <w:rPr>
                <w:rFonts w:ascii="Arial" w:hAnsi="Arial" w:cs="Arial"/>
                <w:b/>
              </w:rPr>
            </w:pPr>
          </w:p>
        </w:tc>
      </w:tr>
      <w:tr w:rsidR="001A125C" w:rsidRPr="006762D8" w14:paraId="70B01DA1" w14:textId="77777777" w:rsidTr="001A125C">
        <w:trPr>
          <w:trHeight w:val="809"/>
        </w:trPr>
        <w:tc>
          <w:tcPr>
            <w:tcW w:w="1134" w:type="dxa"/>
          </w:tcPr>
          <w:p w14:paraId="248AC9D9" w14:textId="2203132C" w:rsidR="00C033EE" w:rsidRPr="006762D8" w:rsidRDefault="00C033EE" w:rsidP="003601E9">
            <w:pPr>
              <w:pStyle w:val="TableParagraph"/>
              <w:numPr>
                <w:ilvl w:val="1"/>
                <w:numId w:val="10"/>
              </w:numPr>
              <w:rPr>
                <w:rFonts w:ascii="Arial" w:hAnsi="Arial" w:cs="Arial"/>
              </w:rPr>
            </w:pPr>
          </w:p>
        </w:tc>
        <w:tc>
          <w:tcPr>
            <w:tcW w:w="7997" w:type="dxa"/>
          </w:tcPr>
          <w:p w14:paraId="7B6E5DC0" w14:textId="321C8586" w:rsidR="00C033EE" w:rsidRPr="006762D8" w:rsidRDefault="00C033EE" w:rsidP="003601E9">
            <w:pPr>
              <w:pStyle w:val="TableParagraph"/>
              <w:spacing w:before="1"/>
              <w:ind w:right="259"/>
              <w:jc w:val="both"/>
              <w:rPr>
                <w:rFonts w:ascii="Arial" w:hAnsi="Arial" w:cs="Arial"/>
              </w:rPr>
            </w:pPr>
            <w:r w:rsidRPr="006F6578">
              <w:rPr>
                <w:rFonts w:ascii="Arial" w:hAnsi="Arial" w:cs="Arial"/>
              </w:rPr>
              <w:t>approve the ratios set between variable and fixed remuneration for MRTs on an annual basis</w:t>
            </w:r>
            <w:r>
              <w:rPr>
                <w:rFonts w:ascii="Arial" w:hAnsi="Arial" w:cs="Arial"/>
              </w:rPr>
              <w:t>;</w:t>
            </w:r>
            <w:r w:rsidRPr="006F6578">
              <w:rPr>
                <w:rFonts w:ascii="Arial" w:hAnsi="Arial" w:cs="Arial"/>
              </w:rPr>
              <w:t xml:space="preserve">  </w:t>
            </w:r>
          </w:p>
        </w:tc>
        <w:tc>
          <w:tcPr>
            <w:tcW w:w="640" w:type="dxa"/>
          </w:tcPr>
          <w:p w14:paraId="540F795F" w14:textId="6B0350A7" w:rsidR="00C033EE" w:rsidRPr="006762D8" w:rsidRDefault="00C033EE" w:rsidP="00C033EE">
            <w:pPr>
              <w:pStyle w:val="TableParagraph"/>
              <w:ind w:left="56"/>
              <w:jc w:val="center"/>
              <w:rPr>
                <w:rFonts w:ascii="Arial" w:hAnsi="Arial" w:cs="Arial"/>
                <w:b/>
              </w:rPr>
            </w:pPr>
          </w:p>
        </w:tc>
      </w:tr>
      <w:tr w:rsidR="001A125C" w:rsidRPr="006762D8" w14:paraId="71B731AE" w14:textId="77777777" w:rsidTr="001A125C">
        <w:trPr>
          <w:trHeight w:val="809"/>
        </w:trPr>
        <w:tc>
          <w:tcPr>
            <w:tcW w:w="1134" w:type="dxa"/>
          </w:tcPr>
          <w:p w14:paraId="220D1732" w14:textId="3D108991" w:rsidR="00C033EE" w:rsidRPr="006762D8" w:rsidRDefault="00C033EE" w:rsidP="003601E9">
            <w:pPr>
              <w:pStyle w:val="TableParagraph"/>
              <w:numPr>
                <w:ilvl w:val="1"/>
                <w:numId w:val="10"/>
              </w:numPr>
              <w:rPr>
                <w:rFonts w:ascii="Arial" w:hAnsi="Arial" w:cs="Arial"/>
              </w:rPr>
            </w:pPr>
          </w:p>
        </w:tc>
        <w:tc>
          <w:tcPr>
            <w:tcW w:w="7997" w:type="dxa"/>
          </w:tcPr>
          <w:p w14:paraId="6B3FAC2F" w14:textId="28BA2192" w:rsidR="00C033EE" w:rsidRPr="006762D8" w:rsidRDefault="00C033EE" w:rsidP="003601E9">
            <w:pPr>
              <w:pStyle w:val="TableParagraph"/>
              <w:spacing w:before="1"/>
              <w:ind w:right="259"/>
              <w:jc w:val="both"/>
              <w:rPr>
                <w:rFonts w:ascii="Arial" w:hAnsi="Arial" w:cs="Arial"/>
              </w:rPr>
            </w:pPr>
            <w:r w:rsidRPr="006762D8">
              <w:rPr>
                <w:rFonts w:ascii="Arial" w:hAnsi="Arial" w:cs="Arial"/>
              </w:rPr>
              <w:t xml:space="preserve">ensure that no </w:t>
            </w:r>
            <w:r>
              <w:rPr>
                <w:rFonts w:ascii="Arial" w:hAnsi="Arial" w:cs="Arial"/>
              </w:rPr>
              <w:t>D</w:t>
            </w:r>
            <w:r w:rsidRPr="006762D8">
              <w:rPr>
                <w:rFonts w:ascii="Arial" w:hAnsi="Arial" w:cs="Arial"/>
              </w:rPr>
              <w:t>irector or manager shall be involved in any decisions as to their own remuneration;</w:t>
            </w:r>
          </w:p>
        </w:tc>
        <w:tc>
          <w:tcPr>
            <w:tcW w:w="640" w:type="dxa"/>
          </w:tcPr>
          <w:p w14:paraId="04BD6ACF" w14:textId="3E7A4E80" w:rsidR="00C033EE" w:rsidRPr="006762D8" w:rsidRDefault="00C033EE" w:rsidP="00C033EE">
            <w:pPr>
              <w:pStyle w:val="TableParagraph"/>
              <w:ind w:left="56"/>
              <w:jc w:val="center"/>
              <w:rPr>
                <w:rFonts w:ascii="Arial" w:hAnsi="Arial" w:cs="Arial"/>
                <w:b/>
              </w:rPr>
            </w:pPr>
          </w:p>
        </w:tc>
      </w:tr>
      <w:tr w:rsidR="001A125C" w:rsidRPr="006762D8" w14:paraId="54CEB070" w14:textId="77777777" w:rsidTr="001A125C">
        <w:trPr>
          <w:trHeight w:val="1348"/>
        </w:trPr>
        <w:tc>
          <w:tcPr>
            <w:tcW w:w="1134" w:type="dxa"/>
          </w:tcPr>
          <w:p w14:paraId="1BF9E00B" w14:textId="377A0D86" w:rsidR="00C033EE" w:rsidRPr="006762D8" w:rsidRDefault="00C033EE" w:rsidP="003601E9">
            <w:pPr>
              <w:pStyle w:val="TableParagraph"/>
              <w:numPr>
                <w:ilvl w:val="1"/>
                <w:numId w:val="10"/>
              </w:numPr>
              <w:rPr>
                <w:rFonts w:ascii="Arial" w:hAnsi="Arial" w:cs="Arial"/>
              </w:rPr>
            </w:pPr>
          </w:p>
        </w:tc>
        <w:tc>
          <w:tcPr>
            <w:tcW w:w="7997" w:type="dxa"/>
          </w:tcPr>
          <w:p w14:paraId="5C14B4FA" w14:textId="1F25CAC0" w:rsidR="00C033EE" w:rsidRPr="006762D8" w:rsidRDefault="00C033EE" w:rsidP="003601E9">
            <w:pPr>
              <w:pStyle w:val="TableParagraph"/>
              <w:spacing w:before="1"/>
              <w:ind w:right="259"/>
              <w:jc w:val="both"/>
              <w:rPr>
                <w:rFonts w:ascii="Arial" w:hAnsi="Arial" w:cs="Arial"/>
              </w:rPr>
            </w:pPr>
            <w:r w:rsidRPr="006762D8">
              <w:rPr>
                <w:rFonts w:ascii="Arial" w:hAnsi="Arial" w:cs="Arial"/>
              </w:rPr>
              <w:t xml:space="preserve">review and ratify awards made by management to good leavers under the </w:t>
            </w:r>
            <w:r>
              <w:rPr>
                <w:rFonts w:ascii="Arial" w:hAnsi="Arial" w:cs="Arial"/>
              </w:rPr>
              <w:t>G</w:t>
            </w:r>
            <w:r w:rsidRPr="006762D8">
              <w:rPr>
                <w:rFonts w:ascii="Arial" w:hAnsi="Arial" w:cs="Arial"/>
              </w:rPr>
              <w:t>roup’s Long</w:t>
            </w:r>
            <w:r>
              <w:rPr>
                <w:rFonts w:ascii="Arial" w:hAnsi="Arial" w:cs="Arial"/>
              </w:rPr>
              <w:t>-</w:t>
            </w:r>
            <w:r w:rsidRPr="006762D8">
              <w:rPr>
                <w:rFonts w:ascii="Arial" w:hAnsi="Arial" w:cs="Arial"/>
              </w:rPr>
              <w:t>Term Incentive Plan (LTIP) and the Sustained Performance Plan (SPP)</w:t>
            </w:r>
            <w:r w:rsidRPr="004B47DC">
              <w:rPr>
                <w:rFonts w:ascii="Arial" w:hAnsi="Arial" w:cs="Arial"/>
              </w:rPr>
              <w:t xml:space="preserve"> (or such other long-term incentive plans that the Company may operate) </w:t>
            </w:r>
            <w:r w:rsidRPr="006762D8">
              <w:rPr>
                <w:rFonts w:ascii="Arial" w:hAnsi="Arial" w:cs="Arial"/>
              </w:rPr>
              <w:t>in</w:t>
            </w:r>
            <w:r w:rsidRPr="003601E9">
              <w:rPr>
                <w:rFonts w:ascii="Arial" w:hAnsi="Arial" w:cs="Arial"/>
              </w:rPr>
              <w:t xml:space="preserve"> </w:t>
            </w:r>
            <w:r w:rsidRPr="006762D8">
              <w:rPr>
                <w:rFonts w:ascii="Arial" w:hAnsi="Arial" w:cs="Arial"/>
              </w:rPr>
              <w:t>accordance</w:t>
            </w:r>
            <w:r w:rsidRPr="003601E9">
              <w:rPr>
                <w:rFonts w:ascii="Arial" w:hAnsi="Arial" w:cs="Arial"/>
              </w:rPr>
              <w:t xml:space="preserve"> </w:t>
            </w:r>
            <w:r w:rsidRPr="006762D8">
              <w:rPr>
                <w:rFonts w:ascii="Arial" w:hAnsi="Arial" w:cs="Arial"/>
              </w:rPr>
              <w:t>with</w:t>
            </w:r>
            <w:r w:rsidRPr="003601E9">
              <w:rPr>
                <w:rFonts w:ascii="Arial" w:hAnsi="Arial" w:cs="Arial"/>
              </w:rPr>
              <w:t xml:space="preserve"> </w:t>
            </w:r>
            <w:r w:rsidRPr="006762D8">
              <w:rPr>
                <w:rFonts w:ascii="Arial" w:hAnsi="Arial" w:cs="Arial"/>
              </w:rPr>
              <w:t>specific</w:t>
            </w:r>
            <w:r w:rsidRPr="003601E9">
              <w:rPr>
                <w:rFonts w:ascii="Arial" w:hAnsi="Arial" w:cs="Arial"/>
              </w:rPr>
              <w:t xml:space="preserve"> </w:t>
            </w:r>
            <w:r w:rsidRPr="006762D8">
              <w:rPr>
                <w:rFonts w:ascii="Arial" w:hAnsi="Arial" w:cs="Arial"/>
              </w:rPr>
              <w:t>criteria</w:t>
            </w:r>
            <w:r w:rsidRPr="003601E9">
              <w:rPr>
                <w:rFonts w:ascii="Arial" w:hAnsi="Arial" w:cs="Arial"/>
              </w:rPr>
              <w:t xml:space="preserve"> </w:t>
            </w:r>
            <w:r w:rsidRPr="006762D8">
              <w:rPr>
                <w:rFonts w:ascii="Arial" w:hAnsi="Arial" w:cs="Arial"/>
              </w:rPr>
              <w:t>agreed</w:t>
            </w:r>
            <w:r w:rsidRPr="003601E9">
              <w:rPr>
                <w:rFonts w:ascii="Arial" w:hAnsi="Arial" w:cs="Arial"/>
              </w:rPr>
              <w:t xml:space="preserve"> </w:t>
            </w:r>
            <w:r w:rsidRPr="006762D8">
              <w:rPr>
                <w:rFonts w:ascii="Arial" w:hAnsi="Arial" w:cs="Arial"/>
              </w:rPr>
              <w:t>by the Committee from time to</w:t>
            </w:r>
            <w:r w:rsidRPr="003601E9">
              <w:rPr>
                <w:rFonts w:ascii="Arial" w:hAnsi="Arial" w:cs="Arial"/>
              </w:rPr>
              <w:t xml:space="preserve"> </w:t>
            </w:r>
            <w:r w:rsidRPr="006762D8">
              <w:rPr>
                <w:rFonts w:ascii="Arial" w:hAnsi="Arial" w:cs="Arial"/>
              </w:rPr>
              <w:t>time;</w:t>
            </w:r>
          </w:p>
        </w:tc>
        <w:tc>
          <w:tcPr>
            <w:tcW w:w="640" w:type="dxa"/>
          </w:tcPr>
          <w:p w14:paraId="216FB064" w14:textId="606593F6" w:rsidR="00C033EE" w:rsidRPr="006762D8" w:rsidRDefault="00C033EE" w:rsidP="00C033EE">
            <w:pPr>
              <w:pStyle w:val="TableParagraph"/>
              <w:ind w:left="58"/>
              <w:jc w:val="center"/>
              <w:rPr>
                <w:rFonts w:ascii="Arial" w:hAnsi="Arial" w:cs="Arial"/>
                <w:b/>
              </w:rPr>
            </w:pPr>
          </w:p>
        </w:tc>
      </w:tr>
      <w:tr w:rsidR="001A125C" w:rsidRPr="006762D8" w14:paraId="6F8B6BCB" w14:textId="77777777" w:rsidTr="001A125C">
        <w:trPr>
          <w:trHeight w:val="1080"/>
        </w:trPr>
        <w:tc>
          <w:tcPr>
            <w:tcW w:w="1134" w:type="dxa"/>
          </w:tcPr>
          <w:p w14:paraId="185396CD" w14:textId="14DAA447" w:rsidR="00C033EE" w:rsidRPr="006762D8" w:rsidRDefault="00C033EE" w:rsidP="003601E9">
            <w:pPr>
              <w:pStyle w:val="TableParagraph"/>
              <w:numPr>
                <w:ilvl w:val="1"/>
                <w:numId w:val="10"/>
              </w:numPr>
              <w:rPr>
                <w:rFonts w:ascii="Arial" w:hAnsi="Arial" w:cs="Arial"/>
              </w:rPr>
            </w:pPr>
          </w:p>
        </w:tc>
        <w:tc>
          <w:tcPr>
            <w:tcW w:w="7997" w:type="dxa"/>
          </w:tcPr>
          <w:p w14:paraId="59CCEF58" w14:textId="13A1808E" w:rsidR="00C033EE" w:rsidRPr="006762D8" w:rsidRDefault="00C033EE" w:rsidP="003601E9">
            <w:pPr>
              <w:pStyle w:val="TableParagraph"/>
              <w:spacing w:before="1"/>
              <w:ind w:right="259"/>
              <w:jc w:val="both"/>
              <w:rPr>
                <w:rFonts w:ascii="Arial" w:hAnsi="Arial" w:cs="Arial"/>
              </w:rPr>
            </w:pPr>
            <w:r w:rsidRPr="006762D8">
              <w:rPr>
                <w:rFonts w:ascii="Arial" w:hAnsi="Arial" w:cs="Arial"/>
              </w:rPr>
              <w:t xml:space="preserve">determine the policy for, and scope of, pension arrangements for each </w:t>
            </w:r>
            <w:r>
              <w:rPr>
                <w:rFonts w:ascii="Arial" w:hAnsi="Arial" w:cs="Arial"/>
              </w:rPr>
              <w:t>E</w:t>
            </w:r>
            <w:r w:rsidRPr="006762D8">
              <w:rPr>
                <w:rFonts w:ascii="Arial" w:hAnsi="Arial" w:cs="Arial"/>
              </w:rPr>
              <w:t xml:space="preserve">xecutive </w:t>
            </w:r>
            <w:r>
              <w:rPr>
                <w:rFonts w:ascii="Arial" w:hAnsi="Arial" w:cs="Arial"/>
              </w:rPr>
              <w:t>D</w:t>
            </w:r>
            <w:r w:rsidRPr="006762D8">
              <w:rPr>
                <w:rFonts w:ascii="Arial" w:hAnsi="Arial" w:cs="Arial"/>
              </w:rPr>
              <w:t>irector and align such contributions with those available to the workforce;</w:t>
            </w:r>
          </w:p>
        </w:tc>
        <w:tc>
          <w:tcPr>
            <w:tcW w:w="640" w:type="dxa"/>
          </w:tcPr>
          <w:p w14:paraId="2606D7A4" w14:textId="35CD8BEC" w:rsidR="00C033EE" w:rsidRPr="006762D8" w:rsidRDefault="00C033EE" w:rsidP="00C033EE">
            <w:pPr>
              <w:pStyle w:val="TableParagraph"/>
              <w:ind w:left="58"/>
              <w:jc w:val="center"/>
              <w:rPr>
                <w:rFonts w:ascii="Arial" w:hAnsi="Arial" w:cs="Arial"/>
                <w:b/>
              </w:rPr>
            </w:pPr>
          </w:p>
        </w:tc>
      </w:tr>
      <w:tr w:rsidR="001A125C" w:rsidRPr="006762D8" w14:paraId="3C005C19" w14:textId="77777777" w:rsidTr="001A125C">
        <w:trPr>
          <w:trHeight w:val="1077"/>
        </w:trPr>
        <w:tc>
          <w:tcPr>
            <w:tcW w:w="1134" w:type="dxa"/>
          </w:tcPr>
          <w:p w14:paraId="52B333F2" w14:textId="7F97A088" w:rsidR="00C033EE" w:rsidRPr="006762D8" w:rsidRDefault="00C033EE" w:rsidP="003601E9">
            <w:pPr>
              <w:pStyle w:val="TableParagraph"/>
              <w:numPr>
                <w:ilvl w:val="1"/>
                <w:numId w:val="10"/>
              </w:numPr>
              <w:rPr>
                <w:rFonts w:ascii="Arial" w:hAnsi="Arial" w:cs="Arial"/>
              </w:rPr>
            </w:pPr>
          </w:p>
        </w:tc>
        <w:tc>
          <w:tcPr>
            <w:tcW w:w="7997" w:type="dxa"/>
          </w:tcPr>
          <w:p w14:paraId="3FDCA5A7" w14:textId="7B90E80A" w:rsidR="00C033EE" w:rsidRPr="006762D8" w:rsidRDefault="00C033EE" w:rsidP="003601E9">
            <w:pPr>
              <w:pStyle w:val="TableParagraph"/>
              <w:spacing w:before="1"/>
              <w:ind w:right="259"/>
              <w:jc w:val="both"/>
              <w:rPr>
                <w:rFonts w:ascii="Arial" w:hAnsi="Arial" w:cs="Arial"/>
              </w:rPr>
            </w:pPr>
            <w:r w:rsidRPr="006762D8">
              <w:rPr>
                <w:rFonts w:ascii="Arial" w:hAnsi="Arial" w:cs="Arial"/>
              </w:rPr>
              <w:t xml:space="preserve">ensure that contractual terms on termination, and any payments made, are fair to the individual, and the </w:t>
            </w:r>
            <w:r>
              <w:rPr>
                <w:rFonts w:ascii="Arial" w:hAnsi="Arial" w:cs="Arial"/>
              </w:rPr>
              <w:t>G</w:t>
            </w:r>
            <w:r w:rsidRPr="006762D8">
              <w:rPr>
                <w:rFonts w:ascii="Arial" w:hAnsi="Arial" w:cs="Arial"/>
              </w:rPr>
              <w:t>roup, that failure is not rewarded and that</w:t>
            </w:r>
            <w:r w:rsidRPr="003601E9">
              <w:rPr>
                <w:rFonts w:ascii="Arial" w:hAnsi="Arial" w:cs="Arial"/>
              </w:rPr>
              <w:t xml:space="preserve"> </w:t>
            </w:r>
            <w:r w:rsidRPr="006762D8">
              <w:rPr>
                <w:rFonts w:ascii="Arial" w:hAnsi="Arial" w:cs="Arial"/>
              </w:rPr>
              <w:t>the duty to mitigate loss is fully</w:t>
            </w:r>
            <w:r w:rsidRPr="003601E9">
              <w:rPr>
                <w:rFonts w:ascii="Arial" w:hAnsi="Arial" w:cs="Arial"/>
              </w:rPr>
              <w:t xml:space="preserve"> </w:t>
            </w:r>
            <w:r w:rsidRPr="006762D8">
              <w:rPr>
                <w:rFonts w:ascii="Arial" w:hAnsi="Arial" w:cs="Arial"/>
              </w:rPr>
              <w:t>recognised;</w:t>
            </w:r>
          </w:p>
        </w:tc>
        <w:tc>
          <w:tcPr>
            <w:tcW w:w="640" w:type="dxa"/>
          </w:tcPr>
          <w:p w14:paraId="0ECBD03D" w14:textId="76F680C8" w:rsidR="00C033EE" w:rsidRPr="006762D8" w:rsidRDefault="00C033EE" w:rsidP="00C033EE">
            <w:pPr>
              <w:pStyle w:val="TableParagraph"/>
              <w:ind w:left="58"/>
              <w:jc w:val="center"/>
              <w:rPr>
                <w:rFonts w:ascii="Arial" w:hAnsi="Arial" w:cs="Arial"/>
                <w:b/>
              </w:rPr>
            </w:pPr>
          </w:p>
        </w:tc>
      </w:tr>
      <w:tr w:rsidR="001A125C" w:rsidRPr="006762D8" w14:paraId="577CD0D1" w14:textId="77777777" w:rsidTr="001A125C">
        <w:trPr>
          <w:trHeight w:val="1618"/>
        </w:trPr>
        <w:tc>
          <w:tcPr>
            <w:tcW w:w="1134" w:type="dxa"/>
          </w:tcPr>
          <w:p w14:paraId="74D9FDCD" w14:textId="34970BE4" w:rsidR="00C033EE" w:rsidRPr="006762D8" w:rsidRDefault="00C033EE" w:rsidP="003601E9">
            <w:pPr>
              <w:pStyle w:val="TableParagraph"/>
              <w:numPr>
                <w:ilvl w:val="1"/>
                <w:numId w:val="10"/>
              </w:numPr>
              <w:rPr>
                <w:rFonts w:ascii="Arial" w:hAnsi="Arial" w:cs="Arial"/>
              </w:rPr>
            </w:pPr>
          </w:p>
        </w:tc>
        <w:tc>
          <w:tcPr>
            <w:tcW w:w="7997" w:type="dxa"/>
          </w:tcPr>
          <w:p w14:paraId="69EA8FB1" w14:textId="19AA8AD2" w:rsidR="00C033EE" w:rsidRPr="006762D8" w:rsidRDefault="00C033EE" w:rsidP="003601E9">
            <w:pPr>
              <w:pStyle w:val="TableParagraph"/>
              <w:spacing w:before="1"/>
              <w:ind w:right="259"/>
              <w:jc w:val="both"/>
              <w:rPr>
                <w:rFonts w:ascii="Arial" w:hAnsi="Arial" w:cs="Arial"/>
              </w:rPr>
            </w:pPr>
            <w:r w:rsidRPr="006762D8">
              <w:rPr>
                <w:rFonts w:ascii="Arial" w:hAnsi="Arial" w:cs="Arial"/>
              </w:rPr>
              <w:t>be exclusively responsible for establishing the selection criteria, selecting, appointing and setting the terms of reference for any remuneration consultants</w:t>
            </w:r>
            <w:r w:rsidRPr="003601E9">
              <w:rPr>
                <w:rFonts w:ascii="Arial" w:hAnsi="Arial" w:cs="Arial"/>
              </w:rPr>
              <w:t xml:space="preserve"> </w:t>
            </w:r>
            <w:r w:rsidRPr="006762D8">
              <w:rPr>
                <w:rFonts w:ascii="Arial" w:hAnsi="Arial" w:cs="Arial"/>
              </w:rPr>
              <w:t>who</w:t>
            </w:r>
            <w:r w:rsidRPr="003601E9">
              <w:rPr>
                <w:rFonts w:ascii="Arial" w:hAnsi="Arial" w:cs="Arial"/>
              </w:rPr>
              <w:t xml:space="preserve"> </w:t>
            </w:r>
            <w:r w:rsidRPr="006762D8">
              <w:rPr>
                <w:rFonts w:ascii="Arial" w:hAnsi="Arial" w:cs="Arial"/>
              </w:rPr>
              <w:t>advise</w:t>
            </w:r>
            <w:r w:rsidRPr="003601E9">
              <w:rPr>
                <w:rFonts w:ascii="Arial" w:hAnsi="Arial" w:cs="Arial"/>
              </w:rPr>
              <w:t xml:space="preserve"> </w:t>
            </w:r>
            <w:r w:rsidRPr="006762D8">
              <w:rPr>
                <w:rFonts w:ascii="Arial" w:hAnsi="Arial" w:cs="Arial"/>
              </w:rPr>
              <w:t>the</w:t>
            </w:r>
            <w:r w:rsidRPr="003601E9">
              <w:rPr>
                <w:rFonts w:ascii="Arial" w:hAnsi="Arial" w:cs="Arial"/>
              </w:rPr>
              <w:t xml:space="preserve"> </w:t>
            </w:r>
            <w:r w:rsidRPr="006762D8">
              <w:rPr>
                <w:rFonts w:ascii="Arial" w:hAnsi="Arial" w:cs="Arial"/>
              </w:rPr>
              <w:t>Committee,</w:t>
            </w:r>
            <w:r w:rsidRPr="003601E9">
              <w:rPr>
                <w:rFonts w:ascii="Arial" w:hAnsi="Arial" w:cs="Arial"/>
              </w:rPr>
              <w:t xml:space="preserve"> </w:t>
            </w:r>
            <w:r w:rsidRPr="006762D8">
              <w:rPr>
                <w:rFonts w:ascii="Arial" w:hAnsi="Arial" w:cs="Arial"/>
              </w:rPr>
              <w:t>identifying</w:t>
            </w:r>
            <w:r w:rsidRPr="003601E9">
              <w:rPr>
                <w:rFonts w:ascii="Arial" w:hAnsi="Arial" w:cs="Arial"/>
              </w:rPr>
              <w:t xml:space="preserve"> </w:t>
            </w:r>
            <w:r w:rsidRPr="006762D8">
              <w:rPr>
                <w:rFonts w:ascii="Arial" w:hAnsi="Arial" w:cs="Arial"/>
              </w:rPr>
              <w:t>them</w:t>
            </w:r>
            <w:r w:rsidRPr="003601E9">
              <w:rPr>
                <w:rFonts w:ascii="Arial" w:hAnsi="Arial" w:cs="Arial"/>
              </w:rPr>
              <w:t xml:space="preserve"> </w:t>
            </w:r>
            <w:r w:rsidRPr="006762D8">
              <w:rPr>
                <w:rFonts w:ascii="Arial" w:hAnsi="Arial" w:cs="Arial"/>
              </w:rPr>
              <w:t>in</w:t>
            </w:r>
            <w:r w:rsidRPr="003601E9">
              <w:rPr>
                <w:rFonts w:ascii="Arial" w:hAnsi="Arial" w:cs="Arial"/>
              </w:rPr>
              <w:t xml:space="preserve"> </w:t>
            </w:r>
            <w:r w:rsidRPr="006762D8">
              <w:rPr>
                <w:rFonts w:ascii="Arial" w:hAnsi="Arial" w:cs="Arial"/>
              </w:rPr>
              <w:t>the</w:t>
            </w:r>
            <w:r w:rsidRPr="003601E9">
              <w:rPr>
                <w:rFonts w:ascii="Arial" w:hAnsi="Arial" w:cs="Arial"/>
              </w:rPr>
              <w:t xml:space="preserve"> </w:t>
            </w:r>
            <w:r w:rsidRPr="006762D8">
              <w:rPr>
                <w:rFonts w:ascii="Arial" w:hAnsi="Arial" w:cs="Arial"/>
              </w:rPr>
              <w:t>Annual</w:t>
            </w:r>
            <w:r w:rsidRPr="003601E9">
              <w:rPr>
                <w:rFonts w:ascii="Arial" w:hAnsi="Arial" w:cs="Arial"/>
              </w:rPr>
              <w:t xml:space="preserve"> </w:t>
            </w:r>
            <w:r w:rsidRPr="006762D8">
              <w:rPr>
                <w:rFonts w:ascii="Arial" w:hAnsi="Arial" w:cs="Arial"/>
              </w:rPr>
              <w:t xml:space="preserve">Report and stating whether they have any other connection with the </w:t>
            </w:r>
            <w:r>
              <w:rPr>
                <w:rFonts w:ascii="Arial" w:hAnsi="Arial" w:cs="Arial"/>
              </w:rPr>
              <w:t>G</w:t>
            </w:r>
            <w:r w:rsidRPr="006762D8">
              <w:rPr>
                <w:rFonts w:ascii="Arial" w:hAnsi="Arial" w:cs="Arial"/>
              </w:rPr>
              <w:t>roup or individual</w:t>
            </w:r>
            <w:r w:rsidRPr="003601E9">
              <w:rPr>
                <w:rFonts w:ascii="Arial" w:hAnsi="Arial" w:cs="Arial"/>
              </w:rPr>
              <w:t xml:space="preserve"> </w:t>
            </w:r>
            <w:r>
              <w:rPr>
                <w:rFonts w:ascii="Arial" w:hAnsi="Arial" w:cs="Arial"/>
              </w:rPr>
              <w:t>D</w:t>
            </w:r>
            <w:r w:rsidRPr="006762D8">
              <w:rPr>
                <w:rFonts w:ascii="Arial" w:hAnsi="Arial" w:cs="Arial"/>
              </w:rPr>
              <w:t>irectors;</w:t>
            </w:r>
          </w:p>
        </w:tc>
        <w:tc>
          <w:tcPr>
            <w:tcW w:w="640" w:type="dxa"/>
          </w:tcPr>
          <w:p w14:paraId="66975AA1" w14:textId="21AFF2A9" w:rsidR="00C033EE" w:rsidRPr="006762D8" w:rsidRDefault="00C033EE" w:rsidP="00C033EE">
            <w:pPr>
              <w:pStyle w:val="TableParagraph"/>
              <w:ind w:left="58"/>
              <w:jc w:val="center"/>
              <w:rPr>
                <w:rFonts w:ascii="Arial" w:hAnsi="Arial" w:cs="Arial"/>
                <w:b/>
              </w:rPr>
            </w:pPr>
          </w:p>
        </w:tc>
      </w:tr>
      <w:tr w:rsidR="001A125C" w:rsidRPr="006762D8" w14:paraId="66EC7FFA" w14:textId="77777777" w:rsidTr="001A125C">
        <w:trPr>
          <w:trHeight w:val="1348"/>
        </w:trPr>
        <w:tc>
          <w:tcPr>
            <w:tcW w:w="1134" w:type="dxa"/>
          </w:tcPr>
          <w:p w14:paraId="6A63C534" w14:textId="64C7E148" w:rsidR="00C033EE" w:rsidRPr="006762D8" w:rsidRDefault="00C033EE" w:rsidP="003601E9">
            <w:pPr>
              <w:pStyle w:val="TableParagraph"/>
              <w:numPr>
                <w:ilvl w:val="1"/>
                <w:numId w:val="10"/>
              </w:numPr>
              <w:spacing w:before="134"/>
              <w:rPr>
                <w:rFonts w:ascii="Arial" w:hAnsi="Arial" w:cs="Arial"/>
              </w:rPr>
            </w:pPr>
          </w:p>
        </w:tc>
        <w:tc>
          <w:tcPr>
            <w:tcW w:w="7997" w:type="dxa"/>
          </w:tcPr>
          <w:p w14:paraId="10914F95" w14:textId="751E4CA3" w:rsidR="00C033EE" w:rsidRPr="006762D8" w:rsidRDefault="00C033EE" w:rsidP="003601E9">
            <w:pPr>
              <w:pStyle w:val="TableParagraph"/>
              <w:spacing w:before="1"/>
              <w:ind w:right="259"/>
              <w:jc w:val="both"/>
              <w:rPr>
                <w:rFonts w:ascii="Arial" w:hAnsi="Arial" w:cs="Arial"/>
              </w:rPr>
            </w:pPr>
            <w:r w:rsidRPr="006762D8">
              <w:rPr>
                <w:rFonts w:ascii="Arial" w:hAnsi="Arial" w:cs="Arial"/>
              </w:rPr>
              <w:t xml:space="preserve">monitor </w:t>
            </w:r>
            <w:r w:rsidR="00CD2659">
              <w:rPr>
                <w:rFonts w:ascii="Arial" w:hAnsi="Arial" w:cs="Arial"/>
              </w:rPr>
              <w:t xml:space="preserve">the Group’s </w:t>
            </w:r>
            <w:r w:rsidR="00CD2659" w:rsidRPr="006762D8">
              <w:rPr>
                <w:rFonts w:ascii="Arial" w:hAnsi="Arial" w:cs="Arial"/>
              </w:rPr>
              <w:t xml:space="preserve">share incentive plans </w:t>
            </w:r>
            <w:r w:rsidRPr="006762D8">
              <w:rPr>
                <w:rFonts w:ascii="Arial" w:hAnsi="Arial" w:cs="Arial"/>
              </w:rPr>
              <w:t xml:space="preserve">operation and determine </w:t>
            </w:r>
            <w:r w:rsidR="00CD2659">
              <w:rPr>
                <w:rFonts w:ascii="Arial" w:hAnsi="Arial" w:cs="Arial"/>
              </w:rPr>
              <w:t xml:space="preserve">on an annual basis </w:t>
            </w:r>
            <w:r w:rsidRPr="006762D8">
              <w:rPr>
                <w:rFonts w:ascii="Arial" w:hAnsi="Arial" w:cs="Arial"/>
              </w:rPr>
              <w:t>whether</w:t>
            </w:r>
            <w:r w:rsidRPr="003601E9">
              <w:rPr>
                <w:rFonts w:ascii="Arial" w:hAnsi="Arial" w:cs="Arial"/>
              </w:rPr>
              <w:t xml:space="preserve"> </w:t>
            </w:r>
            <w:r w:rsidRPr="006762D8">
              <w:rPr>
                <w:rFonts w:ascii="Arial" w:hAnsi="Arial" w:cs="Arial"/>
              </w:rPr>
              <w:t>awards</w:t>
            </w:r>
            <w:r w:rsidRPr="003601E9">
              <w:rPr>
                <w:rFonts w:ascii="Arial" w:hAnsi="Arial" w:cs="Arial"/>
              </w:rPr>
              <w:t xml:space="preserve"> </w:t>
            </w:r>
            <w:r w:rsidRPr="006762D8">
              <w:rPr>
                <w:rFonts w:ascii="Arial" w:hAnsi="Arial" w:cs="Arial"/>
              </w:rPr>
              <w:t>will</w:t>
            </w:r>
            <w:r w:rsidRPr="003601E9">
              <w:rPr>
                <w:rFonts w:ascii="Arial" w:hAnsi="Arial" w:cs="Arial"/>
              </w:rPr>
              <w:t xml:space="preserve"> </w:t>
            </w:r>
            <w:r w:rsidRPr="006762D8">
              <w:rPr>
                <w:rFonts w:ascii="Arial" w:hAnsi="Arial" w:cs="Arial"/>
              </w:rPr>
              <w:t>be</w:t>
            </w:r>
            <w:r w:rsidRPr="003601E9">
              <w:rPr>
                <w:rFonts w:ascii="Arial" w:hAnsi="Arial" w:cs="Arial"/>
              </w:rPr>
              <w:t xml:space="preserve"> </w:t>
            </w:r>
            <w:r w:rsidRPr="006762D8">
              <w:rPr>
                <w:rFonts w:ascii="Arial" w:hAnsi="Arial" w:cs="Arial"/>
              </w:rPr>
              <w:t>made,</w:t>
            </w:r>
            <w:r w:rsidRPr="003601E9">
              <w:rPr>
                <w:rFonts w:ascii="Arial" w:hAnsi="Arial" w:cs="Arial"/>
              </w:rPr>
              <w:t xml:space="preserve"> </w:t>
            </w:r>
            <w:r w:rsidRPr="006762D8">
              <w:rPr>
                <w:rFonts w:ascii="Arial" w:hAnsi="Arial" w:cs="Arial"/>
              </w:rPr>
              <w:t>and</w:t>
            </w:r>
            <w:r w:rsidRPr="003601E9">
              <w:rPr>
                <w:rFonts w:ascii="Arial" w:hAnsi="Arial" w:cs="Arial"/>
              </w:rPr>
              <w:t xml:space="preserve"> </w:t>
            </w:r>
            <w:r w:rsidRPr="006762D8">
              <w:rPr>
                <w:rFonts w:ascii="Arial" w:hAnsi="Arial" w:cs="Arial"/>
              </w:rPr>
              <w:t>if</w:t>
            </w:r>
            <w:r w:rsidRPr="003601E9">
              <w:rPr>
                <w:rFonts w:ascii="Arial" w:hAnsi="Arial" w:cs="Arial"/>
              </w:rPr>
              <w:t xml:space="preserve"> </w:t>
            </w:r>
            <w:r w:rsidRPr="006762D8">
              <w:rPr>
                <w:rFonts w:ascii="Arial" w:hAnsi="Arial" w:cs="Arial"/>
              </w:rPr>
              <w:t>so,</w:t>
            </w:r>
            <w:r w:rsidRPr="003601E9">
              <w:rPr>
                <w:rFonts w:ascii="Arial" w:hAnsi="Arial" w:cs="Arial"/>
              </w:rPr>
              <w:t xml:space="preserve"> </w:t>
            </w:r>
            <w:r w:rsidRPr="006762D8">
              <w:rPr>
                <w:rFonts w:ascii="Arial" w:hAnsi="Arial" w:cs="Arial"/>
              </w:rPr>
              <w:t>the</w:t>
            </w:r>
            <w:r w:rsidRPr="003601E9">
              <w:rPr>
                <w:rFonts w:ascii="Arial" w:hAnsi="Arial" w:cs="Arial"/>
              </w:rPr>
              <w:t xml:space="preserve"> </w:t>
            </w:r>
            <w:r w:rsidRPr="006762D8">
              <w:rPr>
                <w:rFonts w:ascii="Arial" w:hAnsi="Arial" w:cs="Arial"/>
              </w:rPr>
              <w:t>overall</w:t>
            </w:r>
            <w:r w:rsidRPr="003601E9">
              <w:rPr>
                <w:rFonts w:ascii="Arial" w:hAnsi="Arial" w:cs="Arial"/>
              </w:rPr>
              <w:t xml:space="preserve"> </w:t>
            </w:r>
            <w:r w:rsidRPr="006762D8">
              <w:rPr>
                <w:rFonts w:ascii="Arial" w:hAnsi="Arial" w:cs="Arial"/>
              </w:rPr>
              <w:t>amount</w:t>
            </w:r>
            <w:r w:rsidRPr="003601E9">
              <w:rPr>
                <w:rFonts w:ascii="Arial" w:hAnsi="Arial" w:cs="Arial"/>
              </w:rPr>
              <w:t xml:space="preserve"> </w:t>
            </w:r>
            <w:r w:rsidRPr="006762D8">
              <w:rPr>
                <w:rFonts w:ascii="Arial" w:hAnsi="Arial" w:cs="Arial"/>
              </w:rPr>
              <w:t>of</w:t>
            </w:r>
            <w:r w:rsidRPr="003601E9">
              <w:rPr>
                <w:rFonts w:ascii="Arial" w:hAnsi="Arial" w:cs="Arial"/>
              </w:rPr>
              <w:t xml:space="preserve"> </w:t>
            </w:r>
            <w:r w:rsidRPr="006762D8">
              <w:rPr>
                <w:rFonts w:ascii="Arial" w:hAnsi="Arial" w:cs="Arial"/>
              </w:rPr>
              <w:t>such awards, the individual awards to Executive Directors and the performance targets to be</w:t>
            </w:r>
            <w:r w:rsidRPr="003601E9">
              <w:rPr>
                <w:rFonts w:ascii="Arial" w:hAnsi="Arial" w:cs="Arial"/>
              </w:rPr>
              <w:t xml:space="preserve"> </w:t>
            </w:r>
            <w:r w:rsidRPr="006762D8">
              <w:rPr>
                <w:rFonts w:ascii="Arial" w:hAnsi="Arial" w:cs="Arial"/>
              </w:rPr>
              <w:t>used;</w:t>
            </w:r>
          </w:p>
        </w:tc>
        <w:tc>
          <w:tcPr>
            <w:tcW w:w="640" w:type="dxa"/>
          </w:tcPr>
          <w:p w14:paraId="31A6CBFD" w14:textId="266F0FB7" w:rsidR="00C033EE" w:rsidRPr="006762D8" w:rsidRDefault="00C033EE" w:rsidP="00C033EE">
            <w:pPr>
              <w:pStyle w:val="TableParagraph"/>
              <w:spacing w:before="134"/>
              <w:ind w:left="58"/>
              <w:jc w:val="center"/>
              <w:rPr>
                <w:rFonts w:ascii="Arial" w:hAnsi="Arial" w:cs="Arial"/>
                <w:b/>
              </w:rPr>
            </w:pPr>
          </w:p>
        </w:tc>
      </w:tr>
      <w:tr w:rsidR="001A125C" w:rsidRPr="006762D8" w14:paraId="12C72CCC" w14:textId="77777777" w:rsidTr="001A125C">
        <w:trPr>
          <w:trHeight w:val="810"/>
        </w:trPr>
        <w:tc>
          <w:tcPr>
            <w:tcW w:w="1134" w:type="dxa"/>
          </w:tcPr>
          <w:p w14:paraId="19F67636" w14:textId="48B80740" w:rsidR="00C033EE" w:rsidRPr="006762D8" w:rsidRDefault="00C033EE" w:rsidP="003601E9">
            <w:pPr>
              <w:pStyle w:val="TableParagraph"/>
              <w:numPr>
                <w:ilvl w:val="1"/>
                <w:numId w:val="10"/>
              </w:numPr>
              <w:spacing w:before="134"/>
              <w:rPr>
                <w:rFonts w:ascii="Arial" w:hAnsi="Arial" w:cs="Arial"/>
              </w:rPr>
            </w:pPr>
          </w:p>
        </w:tc>
        <w:tc>
          <w:tcPr>
            <w:tcW w:w="7997" w:type="dxa"/>
          </w:tcPr>
          <w:p w14:paraId="1F21A7AC" w14:textId="5D5A60CA" w:rsidR="00C033EE" w:rsidRPr="006762D8" w:rsidRDefault="00C033EE" w:rsidP="003601E9">
            <w:pPr>
              <w:pStyle w:val="TableParagraph"/>
              <w:spacing w:before="1"/>
              <w:ind w:right="259"/>
              <w:jc w:val="both"/>
              <w:rPr>
                <w:rFonts w:ascii="Arial" w:hAnsi="Arial" w:cs="Arial"/>
              </w:rPr>
            </w:pPr>
            <w:r w:rsidRPr="006762D8">
              <w:rPr>
                <w:rFonts w:ascii="Arial" w:hAnsi="Arial" w:cs="Arial"/>
              </w:rPr>
              <w:t>review the ongoing appropriateness and relevance of the Directors’ Remuneration Policy for recommendation to the Board for approval;</w:t>
            </w:r>
          </w:p>
        </w:tc>
        <w:tc>
          <w:tcPr>
            <w:tcW w:w="640" w:type="dxa"/>
          </w:tcPr>
          <w:p w14:paraId="692A31D8" w14:textId="56FB0C92" w:rsidR="00C033EE" w:rsidRPr="006762D8" w:rsidRDefault="00C033EE" w:rsidP="00C033EE">
            <w:pPr>
              <w:pStyle w:val="TableParagraph"/>
              <w:spacing w:before="134"/>
              <w:ind w:left="56"/>
              <w:jc w:val="center"/>
              <w:rPr>
                <w:rFonts w:ascii="Arial" w:hAnsi="Arial" w:cs="Arial"/>
                <w:b/>
              </w:rPr>
            </w:pPr>
          </w:p>
        </w:tc>
      </w:tr>
      <w:tr w:rsidR="001A125C" w:rsidRPr="006762D8" w14:paraId="5A764E4C" w14:textId="77777777" w:rsidTr="001A125C">
        <w:trPr>
          <w:trHeight w:val="810"/>
        </w:trPr>
        <w:tc>
          <w:tcPr>
            <w:tcW w:w="1134" w:type="dxa"/>
          </w:tcPr>
          <w:p w14:paraId="041543D4" w14:textId="4E900CBB" w:rsidR="00C033EE" w:rsidRPr="006762D8" w:rsidRDefault="00C033EE" w:rsidP="003601E9">
            <w:pPr>
              <w:pStyle w:val="TableParagraph"/>
              <w:numPr>
                <w:ilvl w:val="1"/>
                <w:numId w:val="10"/>
              </w:numPr>
              <w:spacing w:before="134"/>
              <w:rPr>
                <w:rFonts w:ascii="Arial" w:hAnsi="Arial" w:cs="Arial"/>
              </w:rPr>
            </w:pPr>
          </w:p>
        </w:tc>
        <w:tc>
          <w:tcPr>
            <w:tcW w:w="7997" w:type="dxa"/>
          </w:tcPr>
          <w:p w14:paraId="3ED7C381" w14:textId="68A808B3" w:rsidR="00C033EE" w:rsidRPr="006762D8" w:rsidRDefault="00C033EE" w:rsidP="003601E9">
            <w:pPr>
              <w:pStyle w:val="TableParagraph"/>
              <w:spacing w:before="1"/>
              <w:ind w:right="259"/>
              <w:jc w:val="both"/>
              <w:rPr>
                <w:rFonts w:ascii="Arial" w:hAnsi="Arial" w:cs="Arial"/>
              </w:rPr>
            </w:pPr>
            <w:r w:rsidRPr="00B16205">
              <w:rPr>
                <w:rFonts w:ascii="Arial" w:hAnsi="Arial" w:cs="Arial"/>
              </w:rPr>
              <w:t>ensure that the</w:t>
            </w:r>
            <w:r>
              <w:rPr>
                <w:rFonts w:ascii="Arial" w:hAnsi="Arial" w:cs="Arial"/>
              </w:rPr>
              <w:t xml:space="preserve"> implementation of the </w:t>
            </w:r>
            <w:r w:rsidRPr="00B16205">
              <w:rPr>
                <w:rFonts w:ascii="Arial" w:hAnsi="Arial" w:cs="Arial"/>
              </w:rPr>
              <w:t xml:space="preserve">Group Remuneration Policy and </w:t>
            </w:r>
            <w:r>
              <w:rPr>
                <w:rFonts w:ascii="Arial" w:hAnsi="Arial" w:cs="Arial"/>
              </w:rPr>
              <w:t>remuneration practices</w:t>
            </w:r>
            <w:r w:rsidRPr="00B16205">
              <w:rPr>
                <w:rFonts w:ascii="Arial" w:hAnsi="Arial" w:cs="Arial"/>
              </w:rPr>
              <w:t xml:space="preserve"> are subject to </w:t>
            </w:r>
            <w:r>
              <w:rPr>
                <w:rFonts w:ascii="Arial" w:hAnsi="Arial" w:cs="Arial"/>
              </w:rPr>
              <w:t>a</w:t>
            </w:r>
            <w:r w:rsidRPr="00B16205">
              <w:rPr>
                <w:rFonts w:ascii="Arial" w:hAnsi="Arial" w:cs="Arial"/>
              </w:rPr>
              <w:t xml:space="preserve"> central and independent internal review at least annually</w:t>
            </w:r>
            <w:r>
              <w:rPr>
                <w:rFonts w:ascii="Arial" w:hAnsi="Arial" w:cs="Arial"/>
              </w:rPr>
              <w:t>;</w:t>
            </w:r>
            <w:r w:rsidRPr="00B16205">
              <w:rPr>
                <w:rFonts w:ascii="Arial" w:hAnsi="Arial" w:cs="Arial"/>
              </w:rPr>
              <w:t xml:space="preserve">  </w:t>
            </w:r>
          </w:p>
        </w:tc>
        <w:tc>
          <w:tcPr>
            <w:tcW w:w="640" w:type="dxa"/>
          </w:tcPr>
          <w:p w14:paraId="7673FB22" w14:textId="07455387" w:rsidR="00C033EE" w:rsidRPr="006762D8" w:rsidRDefault="00C033EE" w:rsidP="00C033EE">
            <w:pPr>
              <w:pStyle w:val="TableParagraph"/>
              <w:spacing w:before="134"/>
              <w:ind w:left="56"/>
              <w:jc w:val="center"/>
              <w:rPr>
                <w:rFonts w:ascii="Arial" w:hAnsi="Arial" w:cs="Arial"/>
                <w:b/>
              </w:rPr>
            </w:pPr>
          </w:p>
        </w:tc>
      </w:tr>
      <w:tr w:rsidR="00C31587" w:rsidRPr="006762D8" w14:paraId="1CB79ED7" w14:textId="77777777" w:rsidTr="003601E9">
        <w:trPr>
          <w:trHeight w:val="674"/>
        </w:trPr>
        <w:tc>
          <w:tcPr>
            <w:tcW w:w="1134" w:type="dxa"/>
            <w:vMerge w:val="restart"/>
          </w:tcPr>
          <w:p w14:paraId="7E0E5536" w14:textId="0BD17552" w:rsidR="00C31587" w:rsidRPr="006762D8" w:rsidRDefault="00C31587" w:rsidP="003601E9">
            <w:pPr>
              <w:pStyle w:val="TableParagraph"/>
              <w:numPr>
                <w:ilvl w:val="1"/>
                <w:numId w:val="10"/>
              </w:numPr>
              <w:rPr>
                <w:rFonts w:ascii="Arial" w:hAnsi="Arial" w:cs="Arial"/>
              </w:rPr>
            </w:pPr>
          </w:p>
        </w:tc>
        <w:tc>
          <w:tcPr>
            <w:tcW w:w="7997" w:type="dxa"/>
            <w:vMerge w:val="restart"/>
          </w:tcPr>
          <w:p w14:paraId="75B12FD4" w14:textId="7D8E8CA6" w:rsidR="00C31587" w:rsidRDefault="00C31587" w:rsidP="003601E9">
            <w:pPr>
              <w:pStyle w:val="TableParagraph"/>
              <w:spacing w:before="1"/>
              <w:ind w:right="259"/>
              <w:jc w:val="both"/>
              <w:rPr>
                <w:rFonts w:ascii="Arial" w:hAnsi="Arial" w:cs="Arial"/>
              </w:rPr>
            </w:pPr>
            <w:r w:rsidRPr="006762D8">
              <w:rPr>
                <w:rFonts w:ascii="Arial" w:hAnsi="Arial" w:cs="Arial"/>
              </w:rPr>
              <w:t xml:space="preserve">review the design and operation of the </w:t>
            </w:r>
            <w:r>
              <w:rPr>
                <w:rFonts w:ascii="Arial" w:hAnsi="Arial" w:cs="Arial"/>
              </w:rPr>
              <w:t>G</w:t>
            </w:r>
            <w:r w:rsidRPr="006762D8">
              <w:rPr>
                <w:rFonts w:ascii="Arial" w:hAnsi="Arial" w:cs="Arial"/>
              </w:rPr>
              <w:t>roup’s performance related pay schemes to ensure the schemes are effective and, with the assistance of the Board Risk Committee, that the risks of the schemes are adequately monitored and controlled</w:t>
            </w:r>
            <w:r>
              <w:rPr>
                <w:rFonts w:ascii="Arial" w:hAnsi="Arial" w:cs="Arial"/>
              </w:rPr>
              <w:t xml:space="preserve"> </w:t>
            </w:r>
            <w:r w:rsidRPr="00D52342">
              <w:rPr>
                <w:rFonts w:ascii="Arial" w:hAnsi="Arial" w:cs="Arial"/>
              </w:rPr>
              <w:t>and also take into account liquidity and capital levels</w:t>
            </w:r>
            <w:r w:rsidRPr="006762D8">
              <w:rPr>
                <w:rFonts w:ascii="Arial" w:hAnsi="Arial" w:cs="Arial"/>
              </w:rPr>
              <w:t>;</w:t>
            </w:r>
          </w:p>
          <w:p w14:paraId="0E6C2901" w14:textId="65E0A1EF" w:rsidR="00C31587" w:rsidRPr="006762D8" w:rsidRDefault="00C31587" w:rsidP="003601E9">
            <w:pPr>
              <w:pStyle w:val="TableParagraph"/>
              <w:spacing w:before="1"/>
              <w:ind w:right="259"/>
              <w:jc w:val="both"/>
              <w:rPr>
                <w:rFonts w:ascii="Arial" w:hAnsi="Arial" w:cs="Arial"/>
              </w:rPr>
            </w:pPr>
          </w:p>
        </w:tc>
        <w:tc>
          <w:tcPr>
            <w:tcW w:w="640" w:type="dxa"/>
          </w:tcPr>
          <w:p w14:paraId="666DC8A7" w14:textId="57E8B99A" w:rsidR="00C31587" w:rsidRPr="006762D8" w:rsidRDefault="00C31587" w:rsidP="00C033EE">
            <w:pPr>
              <w:pStyle w:val="TableParagraph"/>
              <w:spacing w:before="0"/>
              <w:ind w:left="0"/>
              <w:jc w:val="center"/>
              <w:rPr>
                <w:rFonts w:ascii="Arial" w:hAnsi="Arial" w:cs="Arial"/>
              </w:rPr>
            </w:pPr>
          </w:p>
        </w:tc>
      </w:tr>
      <w:tr w:rsidR="00C31587" w:rsidRPr="006762D8" w14:paraId="4CEAAF7A" w14:textId="77777777" w:rsidTr="003601E9">
        <w:trPr>
          <w:trHeight w:val="608"/>
        </w:trPr>
        <w:tc>
          <w:tcPr>
            <w:tcW w:w="1134" w:type="dxa"/>
            <w:vMerge/>
          </w:tcPr>
          <w:p w14:paraId="4B554E5C" w14:textId="77777777" w:rsidR="00C31587" w:rsidRPr="006762D8" w:rsidRDefault="00C31587" w:rsidP="003601E9">
            <w:pPr>
              <w:pStyle w:val="TableParagraph"/>
              <w:ind w:left="0"/>
              <w:rPr>
                <w:rFonts w:ascii="Arial" w:hAnsi="Arial" w:cs="Arial"/>
              </w:rPr>
            </w:pPr>
          </w:p>
        </w:tc>
        <w:tc>
          <w:tcPr>
            <w:tcW w:w="7997" w:type="dxa"/>
            <w:vMerge/>
          </w:tcPr>
          <w:p w14:paraId="22ABF85D" w14:textId="77777777" w:rsidR="00C31587" w:rsidRPr="003601E9" w:rsidRDefault="00C31587" w:rsidP="003601E9">
            <w:pPr>
              <w:pStyle w:val="TableParagraph"/>
              <w:spacing w:before="1"/>
              <w:ind w:right="259"/>
              <w:jc w:val="both"/>
              <w:rPr>
                <w:rFonts w:ascii="Arial" w:hAnsi="Arial" w:cs="Arial"/>
              </w:rPr>
            </w:pPr>
          </w:p>
        </w:tc>
        <w:tc>
          <w:tcPr>
            <w:tcW w:w="640" w:type="dxa"/>
          </w:tcPr>
          <w:p w14:paraId="2291C2CB" w14:textId="2232940A" w:rsidR="00C31587" w:rsidRPr="006762D8" w:rsidRDefault="00C31587" w:rsidP="00C033EE">
            <w:pPr>
              <w:pStyle w:val="TableParagraph"/>
              <w:spacing w:before="0" w:line="250" w:lineRule="exact"/>
              <w:ind w:left="56"/>
              <w:jc w:val="center"/>
              <w:rPr>
                <w:rFonts w:ascii="Arial" w:hAnsi="Arial" w:cs="Arial"/>
                <w:b/>
              </w:rPr>
            </w:pPr>
          </w:p>
        </w:tc>
      </w:tr>
      <w:tr w:rsidR="001A125C" w:rsidRPr="006762D8" w14:paraId="777349FC" w14:textId="77777777" w:rsidTr="001A125C">
        <w:trPr>
          <w:trHeight w:val="1214"/>
        </w:trPr>
        <w:tc>
          <w:tcPr>
            <w:tcW w:w="1134" w:type="dxa"/>
          </w:tcPr>
          <w:p w14:paraId="4B5DC928" w14:textId="7CAB66AE" w:rsidR="00C033EE" w:rsidRPr="006762D8" w:rsidRDefault="00C033EE" w:rsidP="003601E9">
            <w:pPr>
              <w:pStyle w:val="TableParagraph"/>
              <w:numPr>
                <w:ilvl w:val="1"/>
                <w:numId w:val="10"/>
              </w:numPr>
              <w:rPr>
                <w:rFonts w:ascii="Arial" w:hAnsi="Arial" w:cs="Arial"/>
              </w:rPr>
            </w:pPr>
          </w:p>
        </w:tc>
        <w:tc>
          <w:tcPr>
            <w:tcW w:w="7997" w:type="dxa"/>
          </w:tcPr>
          <w:p w14:paraId="67FACDEF" w14:textId="20981532" w:rsidR="00C033EE" w:rsidRPr="006762D8" w:rsidRDefault="00C033EE" w:rsidP="003601E9">
            <w:pPr>
              <w:pStyle w:val="TableParagraph"/>
              <w:spacing w:before="1"/>
              <w:ind w:right="259"/>
              <w:jc w:val="both"/>
              <w:rPr>
                <w:rFonts w:ascii="Arial" w:hAnsi="Arial" w:cs="Arial"/>
              </w:rPr>
            </w:pPr>
            <w:r w:rsidRPr="006762D8">
              <w:rPr>
                <w:rFonts w:ascii="Arial" w:hAnsi="Arial" w:cs="Arial"/>
              </w:rPr>
              <w:t>review</w:t>
            </w:r>
            <w:r w:rsidRPr="003601E9">
              <w:rPr>
                <w:rFonts w:ascii="Arial" w:hAnsi="Arial" w:cs="Arial"/>
              </w:rPr>
              <w:t xml:space="preserve"> </w:t>
            </w:r>
            <w:r w:rsidRPr="006762D8">
              <w:rPr>
                <w:rFonts w:ascii="Arial" w:hAnsi="Arial" w:cs="Arial"/>
              </w:rPr>
              <w:t>the</w:t>
            </w:r>
            <w:r w:rsidRPr="003601E9">
              <w:rPr>
                <w:rFonts w:ascii="Arial" w:hAnsi="Arial" w:cs="Arial"/>
              </w:rPr>
              <w:t xml:space="preserve"> </w:t>
            </w:r>
            <w:r w:rsidRPr="006762D8">
              <w:rPr>
                <w:rFonts w:ascii="Arial" w:hAnsi="Arial" w:cs="Arial"/>
              </w:rPr>
              <w:t>design</w:t>
            </w:r>
            <w:r w:rsidRPr="003601E9">
              <w:rPr>
                <w:rFonts w:ascii="Arial" w:hAnsi="Arial" w:cs="Arial"/>
              </w:rPr>
              <w:t xml:space="preserve"> </w:t>
            </w:r>
            <w:r w:rsidRPr="006762D8">
              <w:rPr>
                <w:rFonts w:ascii="Arial" w:hAnsi="Arial" w:cs="Arial"/>
              </w:rPr>
              <w:t>of</w:t>
            </w:r>
            <w:r w:rsidRPr="003601E9">
              <w:rPr>
                <w:rFonts w:ascii="Arial" w:hAnsi="Arial" w:cs="Arial"/>
              </w:rPr>
              <w:t xml:space="preserve"> </w:t>
            </w:r>
            <w:r w:rsidRPr="006762D8">
              <w:rPr>
                <w:rFonts w:ascii="Arial" w:hAnsi="Arial" w:cs="Arial"/>
              </w:rPr>
              <w:t>all</w:t>
            </w:r>
            <w:r w:rsidRPr="003601E9">
              <w:rPr>
                <w:rFonts w:ascii="Arial" w:hAnsi="Arial" w:cs="Arial"/>
              </w:rPr>
              <w:t xml:space="preserve"> </w:t>
            </w:r>
            <w:r w:rsidRPr="006762D8">
              <w:rPr>
                <w:rFonts w:ascii="Arial" w:hAnsi="Arial" w:cs="Arial"/>
              </w:rPr>
              <w:t>new</w:t>
            </w:r>
            <w:r w:rsidRPr="003601E9">
              <w:rPr>
                <w:rFonts w:ascii="Arial" w:hAnsi="Arial" w:cs="Arial"/>
              </w:rPr>
              <w:t xml:space="preserve"> </w:t>
            </w:r>
            <w:r w:rsidRPr="006762D8">
              <w:rPr>
                <w:rFonts w:ascii="Arial" w:hAnsi="Arial" w:cs="Arial"/>
              </w:rPr>
              <w:t>share</w:t>
            </w:r>
            <w:r w:rsidRPr="003601E9">
              <w:rPr>
                <w:rFonts w:ascii="Arial" w:hAnsi="Arial" w:cs="Arial"/>
              </w:rPr>
              <w:t xml:space="preserve"> </w:t>
            </w:r>
            <w:r w:rsidRPr="006762D8">
              <w:rPr>
                <w:rFonts w:ascii="Arial" w:hAnsi="Arial" w:cs="Arial"/>
              </w:rPr>
              <w:t>incentive</w:t>
            </w:r>
            <w:r w:rsidRPr="003601E9">
              <w:rPr>
                <w:rFonts w:ascii="Arial" w:hAnsi="Arial" w:cs="Arial"/>
              </w:rPr>
              <w:t xml:space="preserve"> </w:t>
            </w:r>
            <w:r w:rsidRPr="006762D8">
              <w:rPr>
                <w:rFonts w:ascii="Arial" w:hAnsi="Arial" w:cs="Arial"/>
              </w:rPr>
              <w:t>plans</w:t>
            </w:r>
            <w:r w:rsidRPr="003601E9">
              <w:rPr>
                <w:rFonts w:ascii="Arial" w:hAnsi="Arial" w:cs="Arial"/>
              </w:rPr>
              <w:t xml:space="preserve"> </w:t>
            </w:r>
            <w:r w:rsidRPr="006762D8">
              <w:rPr>
                <w:rFonts w:ascii="Arial" w:hAnsi="Arial" w:cs="Arial"/>
              </w:rPr>
              <w:t>and</w:t>
            </w:r>
            <w:r w:rsidRPr="003601E9">
              <w:rPr>
                <w:rFonts w:ascii="Arial" w:hAnsi="Arial" w:cs="Arial"/>
              </w:rPr>
              <w:t xml:space="preserve"> </w:t>
            </w:r>
            <w:r w:rsidRPr="006762D8">
              <w:rPr>
                <w:rFonts w:ascii="Arial" w:hAnsi="Arial" w:cs="Arial"/>
              </w:rPr>
              <w:t>significant</w:t>
            </w:r>
            <w:r w:rsidRPr="003601E9">
              <w:rPr>
                <w:rFonts w:ascii="Arial" w:hAnsi="Arial" w:cs="Arial"/>
              </w:rPr>
              <w:t xml:space="preserve"> </w:t>
            </w:r>
            <w:r w:rsidRPr="006762D8">
              <w:rPr>
                <w:rFonts w:ascii="Arial" w:hAnsi="Arial" w:cs="Arial"/>
              </w:rPr>
              <w:t>changes</w:t>
            </w:r>
            <w:r w:rsidRPr="003601E9">
              <w:rPr>
                <w:rFonts w:ascii="Arial" w:hAnsi="Arial" w:cs="Arial"/>
              </w:rPr>
              <w:t xml:space="preserve"> </w:t>
            </w:r>
            <w:r w:rsidRPr="006762D8">
              <w:rPr>
                <w:rFonts w:ascii="Arial" w:hAnsi="Arial" w:cs="Arial"/>
              </w:rPr>
              <w:t>to existing share incentive plans (subject to the Listing Rules) for recommendation to the Board for approval and shareholders where required;</w:t>
            </w:r>
          </w:p>
        </w:tc>
        <w:tc>
          <w:tcPr>
            <w:tcW w:w="640" w:type="dxa"/>
          </w:tcPr>
          <w:p w14:paraId="1BBB31D4" w14:textId="568F1101" w:rsidR="00C033EE" w:rsidRPr="006762D8" w:rsidRDefault="00C033EE" w:rsidP="00C033EE">
            <w:pPr>
              <w:pStyle w:val="TableParagraph"/>
              <w:spacing w:before="1"/>
              <w:ind w:left="57"/>
              <w:jc w:val="center"/>
              <w:rPr>
                <w:rFonts w:ascii="Arial" w:hAnsi="Arial" w:cs="Arial"/>
                <w:b/>
              </w:rPr>
            </w:pPr>
          </w:p>
        </w:tc>
      </w:tr>
      <w:tr w:rsidR="001A125C" w:rsidRPr="006762D8" w14:paraId="2F650A7D" w14:textId="77777777" w:rsidTr="001A125C">
        <w:trPr>
          <w:trHeight w:val="993"/>
        </w:trPr>
        <w:tc>
          <w:tcPr>
            <w:tcW w:w="1134" w:type="dxa"/>
          </w:tcPr>
          <w:p w14:paraId="1CEA3CB0" w14:textId="35E07C97" w:rsidR="00C033EE" w:rsidRPr="006762D8" w:rsidRDefault="00C033EE" w:rsidP="003601E9">
            <w:pPr>
              <w:pStyle w:val="TableParagraph"/>
              <w:numPr>
                <w:ilvl w:val="1"/>
                <w:numId w:val="10"/>
              </w:numPr>
              <w:rPr>
                <w:rFonts w:ascii="Arial" w:hAnsi="Arial" w:cs="Arial"/>
              </w:rPr>
            </w:pPr>
          </w:p>
        </w:tc>
        <w:tc>
          <w:tcPr>
            <w:tcW w:w="7997" w:type="dxa"/>
          </w:tcPr>
          <w:p w14:paraId="6126F464" w14:textId="486DCDFC" w:rsidR="00C033EE" w:rsidRPr="006762D8" w:rsidRDefault="00C033EE" w:rsidP="003601E9">
            <w:pPr>
              <w:pStyle w:val="TableParagraph"/>
              <w:spacing w:before="1"/>
              <w:ind w:right="259"/>
              <w:jc w:val="both"/>
              <w:rPr>
                <w:rFonts w:ascii="Arial" w:hAnsi="Arial" w:cs="Arial"/>
              </w:rPr>
            </w:pPr>
            <w:r w:rsidRPr="006762D8">
              <w:rPr>
                <w:rFonts w:ascii="Arial" w:hAnsi="Arial" w:cs="Arial"/>
              </w:rPr>
              <w:t>be able to demonstrate that its decisions are consistent with a reasonable assessment of the Company’s financial situation and future prospects;</w:t>
            </w:r>
          </w:p>
        </w:tc>
        <w:tc>
          <w:tcPr>
            <w:tcW w:w="640" w:type="dxa"/>
          </w:tcPr>
          <w:p w14:paraId="2E7A92F8" w14:textId="00187CE2" w:rsidR="00C033EE" w:rsidRPr="006762D8" w:rsidRDefault="00C033EE" w:rsidP="00C033EE">
            <w:pPr>
              <w:pStyle w:val="TableParagraph"/>
              <w:ind w:left="57"/>
              <w:jc w:val="center"/>
              <w:rPr>
                <w:rFonts w:ascii="Arial" w:hAnsi="Arial" w:cs="Arial"/>
                <w:b/>
              </w:rPr>
            </w:pPr>
          </w:p>
        </w:tc>
      </w:tr>
      <w:tr w:rsidR="001A125C" w:rsidRPr="006762D8" w14:paraId="66E924D8" w14:textId="77777777" w:rsidTr="001A125C">
        <w:trPr>
          <w:trHeight w:val="1079"/>
        </w:trPr>
        <w:tc>
          <w:tcPr>
            <w:tcW w:w="1134" w:type="dxa"/>
          </w:tcPr>
          <w:p w14:paraId="52502172" w14:textId="2C8BF027" w:rsidR="00C033EE" w:rsidRPr="006762D8" w:rsidRDefault="00C033EE" w:rsidP="003601E9">
            <w:pPr>
              <w:pStyle w:val="TableParagraph"/>
              <w:numPr>
                <w:ilvl w:val="1"/>
                <w:numId w:val="10"/>
              </w:numPr>
              <w:rPr>
                <w:rFonts w:ascii="Arial" w:hAnsi="Arial" w:cs="Arial"/>
              </w:rPr>
            </w:pPr>
          </w:p>
        </w:tc>
        <w:tc>
          <w:tcPr>
            <w:tcW w:w="7997" w:type="dxa"/>
          </w:tcPr>
          <w:p w14:paraId="671FE98E" w14:textId="1CB91B59" w:rsidR="00C033EE" w:rsidRPr="006762D8" w:rsidRDefault="00C033EE" w:rsidP="003601E9">
            <w:pPr>
              <w:pStyle w:val="TableParagraph"/>
              <w:spacing w:before="1"/>
              <w:ind w:right="259"/>
              <w:jc w:val="both"/>
              <w:rPr>
                <w:rFonts w:ascii="Arial" w:hAnsi="Arial" w:cs="Arial"/>
              </w:rPr>
            </w:pPr>
            <w:r w:rsidRPr="006762D8">
              <w:rPr>
                <w:rFonts w:ascii="Arial" w:hAnsi="Arial" w:cs="Arial"/>
              </w:rPr>
              <w:t>receive and review reports annually directly from the risk management function</w:t>
            </w:r>
            <w:r w:rsidRPr="003601E9">
              <w:rPr>
                <w:rFonts w:ascii="Arial" w:hAnsi="Arial" w:cs="Arial"/>
              </w:rPr>
              <w:t xml:space="preserve"> </w:t>
            </w:r>
            <w:r w:rsidRPr="006762D8">
              <w:rPr>
                <w:rFonts w:ascii="Arial" w:hAnsi="Arial" w:cs="Arial"/>
              </w:rPr>
              <w:t>“on</w:t>
            </w:r>
            <w:r w:rsidRPr="003601E9">
              <w:rPr>
                <w:rFonts w:ascii="Arial" w:hAnsi="Arial" w:cs="Arial"/>
              </w:rPr>
              <w:t xml:space="preserve"> </w:t>
            </w:r>
            <w:r w:rsidRPr="006762D8">
              <w:rPr>
                <w:rFonts w:ascii="Arial" w:hAnsi="Arial" w:cs="Arial"/>
              </w:rPr>
              <w:t>the</w:t>
            </w:r>
            <w:r w:rsidRPr="003601E9">
              <w:rPr>
                <w:rFonts w:ascii="Arial" w:hAnsi="Arial" w:cs="Arial"/>
              </w:rPr>
              <w:t xml:space="preserve"> </w:t>
            </w:r>
            <w:r w:rsidRPr="006762D8">
              <w:rPr>
                <w:rFonts w:ascii="Arial" w:hAnsi="Arial" w:cs="Arial"/>
              </w:rPr>
              <w:t>implications</w:t>
            </w:r>
            <w:r w:rsidRPr="003601E9">
              <w:rPr>
                <w:rFonts w:ascii="Arial" w:hAnsi="Arial" w:cs="Arial"/>
              </w:rPr>
              <w:t xml:space="preserve"> </w:t>
            </w:r>
            <w:r w:rsidRPr="006762D8">
              <w:rPr>
                <w:rFonts w:ascii="Arial" w:hAnsi="Arial" w:cs="Arial"/>
              </w:rPr>
              <w:t>of</w:t>
            </w:r>
            <w:r w:rsidRPr="003601E9">
              <w:rPr>
                <w:rFonts w:ascii="Arial" w:hAnsi="Arial" w:cs="Arial"/>
              </w:rPr>
              <w:t xml:space="preserve"> </w:t>
            </w:r>
            <w:r w:rsidRPr="006762D8">
              <w:rPr>
                <w:rFonts w:ascii="Arial" w:hAnsi="Arial" w:cs="Arial"/>
              </w:rPr>
              <w:t>the</w:t>
            </w:r>
            <w:r w:rsidRPr="003601E9">
              <w:rPr>
                <w:rFonts w:ascii="Arial" w:hAnsi="Arial" w:cs="Arial"/>
              </w:rPr>
              <w:t xml:space="preserve"> </w:t>
            </w:r>
            <w:r>
              <w:rPr>
                <w:rFonts w:ascii="Arial" w:hAnsi="Arial" w:cs="Arial"/>
              </w:rPr>
              <w:t>G</w:t>
            </w:r>
            <w:r w:rsidRPr="006762D8">
              <w:rPr>
                <w:rFonts w:ascii="Arial" w:hAnsi="Arial" w:cs="Arial"/>
              </w:rPr>
              <w:t>roup</w:t>
            </w:r>
            <w:r w:rsidRPr="003601E9">
              <w:rPr>
                <w:rFonts w:ascii="Arial" w:hAnsi="Arial" w:cs="Arial"/>
              </w:rPr>
              <w:t xml:space="preserve"> </w:t>
            </w:r>
            <w:r w:rsidRPr="006762D8">
              <w:rPr>
                <w:rFonts w:ascii="Arial" w:hAnsi="Arial" w:cs="Arial"/>
              </w:rPr>
              <w:t>Remuneration</w:t>
            </w:r>
            <w:r w:rsidRPr="003601E9">
              <w:rPr>
                <w:rFonts w:ascii="Arial" w:hAnsi="Arial" w:cs="Arial"/>
              </w:rPr>
              <w:t xml:space="preserve"> </w:t>
            </w:r>
            <w:r w:rsidRPr="006762D8">
              <w:rPr>
                <w:rFonts w:ascii="Arial" w:hAnsi="Arial" w:cs="Arial"/>
              </w:rPr>
              <w:t>Policy</w:t>
            </w:r>
            <w:r w:rsidRPr="003601E9">
              <w:rPr>
                <w:rFonts w:ascii="Arial" w:hAnsi="Arial" w:cs="Arial"/>
              </w:rPr>
              <w:t xml:space="preserve"> </w:t>
            </w:r>
            <w:r w:rsidRPr="006762D8">
              <w:rPr>
                <w:rFonts w:ascii="Arial" w:hAnsi="Arial" w:cs="Arial"/>
              </w:rPr>
              <w:t>for</w:t>
            </w:r>
            <w:r w:rsidRPr="003601E9">
              <w:rPr>
                <w:rFonts w:ascii="Arial" w:hAnsi="Arial" w:cs="Arial"/>
              </w:rPr>
              <w:t xml:space="preserve"> </w:t>
            </w:r>
            <w:r w:rsidRPr="006762D8">
              <w:rPr>
                <w:rFonts w:ascii="Arial" w:hAnsi="Arial" w:cs="Arial"/>
              </w:rPr>
              <w:t>risk</w:t>
            </w:r>
            <w:r w:rsidRPr="003601E9">
              <w:rPr>
                <w:rFonts w:ascii="Arial" w:hAnsi="Arial" w:cs="Arial"/>
              </w:rPr>
              <w:t xml:space="preserve"> </w:t>
            </w:r>
            <w:r w:rsidRPr="006762D8">
              <w:rPr>
                <w:rFonts w:ascii="Arial" w:hAnsi="Arial" w:cs="Arial"/>
              </w:rPr>
              <w:t>and</w:t>
            </w:r>
            <w:r w:rsidRPr="003601E9">
              <w:rPr>
                <w:rFonts w:ascii="Arial" w:hAnsi="Arial" w:cs="Arial"/>
              </w:rPr>
              <w:t xml:space="preserve"> </w:t>
            </w:r>
            <w:r w:rsidRPr="006762D8">
              <w:rPr>
                <w:rFonts w:ascii="Arial" w:hAnsi="Arial" w:cs="Arial"/>
              </w:rPr>
              <w:t>risk management”;</w:t>
            </w:r>
          </w:p>
        </w:tc>
        <w:tc>
          <w:tcPr>
            <w:tcW w:w="640" w:type="dxa"/>
          </w:tcPr>
          <w:p w14:paraId="4E4FCFF1" w14:textId="0F88D725" w:rsidR="00C033EE" w:rsidRPr="006762D8" w:rsidRDefault="00C033EE" w:rsidP="00C033EE">
            <w:pPr>
              <w:pStyle w:val="TableParagraph"/>
              <w:spacing w:before="134"/>
              <w:ind w:left="57"/>
              <w:jc w:val="center"/>
              <w:rPr>
                <w:rFonts w:ascii="Arial" w:hAnsi="Arial" w:cs="Arial"/>
                <w:b/>
              </w:rPr>
            </w:pPr>
          </w:p>
        </w:tc>
      </w:tr>
      <w:tr w:rsidR="001A125C" w:rsidRPr="006762D8" w14:paraId="68BFE52E" w14:textId="77777777" w:rsidTr="001A125C">
        <w:trPr>
          <w:trHeight w:val="540"/>
        </w:trPr>
        <w:tc>
          <w:tcPr>
            <w:tcW w:w="1134" w:type="dxa"/>
          </w:tcPr>
          <w:p w14:paraId="19375993" w14:textId="15D7C83E" w:rsidR="00C033EE" w:rsidRPr="006762D8" w:rsidRDefault="00C033EE" w:rsidP="003601E9">
            <w:pPr>
              <w:pStyle w:val="TableParagraph"/>
              <w:numPr>
                <w:ilvl w:val="1"/>
                <w:numId w:val="10"/>
              </w:numPr>
              <w:rPr>
                <w:rFonts w:ascii="Arial" w:hAnsi="Arial" w:cs="Arial"/>
              </w:rPr>
            </w:pPr>
          </w:p>
        </w:tc>
        <w:tc>
          <w:tcPr>
            <w:tcW w:w="7997" w:type="dxa"/>
          </w:tcPr>
          <w:p w14:paraId="7B740D7A" w14:textId="7B071E12" w:rsidR="00C033EE" w:rsidRPr="006762D8" w:rsidRDefault="00C033EE" w:rsidP="003601E9">
            <w:pPr>
              <w:pStyle w:val="TableParagraph"/>
              <w:spacing w:before="1"/>
              <w:ind w:right="259"/>
              <w:jc w:val="both"/>
              <w:rPr>
                <w:rFonts w:ascii="Arial" w:hAnsi="Arial" w:cs="Arial"/>
              </w:rPr>
            </w:pPr>
            <w:r w:rsidRPr="006762D8">
              <w:rPr>
                <w:rFonts w:ascii="Arial" w:hAnsi="Arial" w:cs="Arial"/>
              </w:rPr>
              <w:t xml:space="preserve">review and note annually the remuneration trends across the </w:t>
            </w:r>
            <w:r>
              <w:rPr>
                <w:rFonts w:ascii="Arial" w:hAnsi="Arial" w:cs="Arial"/>
              </w:rPr>
              <w:t>G</w:t>
            </w:r>
            <w:r w:rsidRPr="006762D8">
              <w:rPr>
                <w:rFonts w:ascii="Arial" w:hAnsi="Arial" w:cs="Arial"/>
              </w:rPr>
              <w:t>roup;</w:t>
            </w:r>
          </w:p>
        </w:tc>
        <w:tc>
          <w:tcPr>
            <w:tcW w:w="640" w:type="dxa"/>
          </w:tcPr>
          <w:p w14:paraId="2E36008D" w14:textId="1229A3D4" w:rsidR="00C033EE" w:rsidRPr="006762D8" w:rsidRDefault="00C033EE" w:rsidP="00C033EE">
            <w:pPr>
              <w:pStyle w:val="TableParagraph"/>
              <w:ind w:left="57"/>
              <w:jc w:val="center"/>
              <w:rPr>
                <w:rFonts w:ascii="Arial" w:hAnsi="Arial" w:cs="Arial"/>
                <w:b/>
              </w:rPr>
            </w:pPr>
          </w:p>
        </w:tc>
      </w:tr>
      <w:tr w:rsidR="001A125C" w:rsidRPr="006762D8" w14:paraId="3D9E0F04" w14:textId="77777777" w:rsidTr="001A125C">
        <w:trPr>
          <w:trHeight w:val="808"/>
        </w:trPr>
        <w:tc>
          <w:tcPr>
            <w:tcW w:w="1134" w:type="dxa"/>
          </w:tcPr>
          <w:p w14:paraId="24C80C40" w14:textId="2D0863B9" w:rsidR="00C033EE" w:rsidRPr="006762D8" w:rsidRDefault="00C033EE" w:rsidP="003601E9">
            <w:pPr>
              <w:pStyle w:val="TableParagraph"/>
              <w:numPr>
                <w:ilvl w:val="1"/>
                <w:numId w:val="10"/>
              </w:numPr>
              <w:rPr>
                <w:rFonts w:ascii="Arial" w:hAnsi="Arial" w:cs="Arial"/>
              </w:rPr>
            </w:pPr>
          </w:p>
        </w:tc>
        <w:tc>
          <w:tcPr>
            <w:tcW w:w="7997" w:type="dxa"/>
          </w:tcPr>
          <w:p w14:paraId="298AB45D" w14:textId="6940626D" w:rsidR="00C033EE" w:rsidRPr="006762D8" w:rsidRDefault="00C033EE" w:rsidP="003601E9">
            <w:pPr>
              <w:pStyle w:val="TableParagraph"/>
              <w:spacing w:before="1"/>
              <w:ind w:right="259"/>
              <w:jc w:val="both"/>
              <w:rPr>
                <w:rFonts w:ascii="Arial" w:hAnsi="Arial" w:cs="Arial"/>
              </w:rPr>
            </w:pPr>
            <w:r w:rsidRPr="006762D8">
              <w:rPr>
                <w:rFonts w:ascii="Arial" w:hAnsi="Arial" w:cs="Arial"/>
              </w:rPr>
              <w:t xml:space="preserve">oversee any major changes in employee benefits structures throughout the </w:t>
            </w:r>
            <w:r>
              <w:rPr>
                <w:rFonts w:ascii="Arial" w:hAnsi="Arial" w:cs="Arial"/>
              </w:rPr>
              <w:t>G</w:t>
            </w:r>
            <w:r w:rsidRPr="006762D8">
              <w:rPr>
                <w:rFonts w:ascii="Arial" w:hAnsi="Arial" w:cs="Arial"/>
              </w:rPr>
              <w:t>roup;</w:t>
            </w:r>
          </w:p>
        </w:tc>
        <w:tc>
          <w:tcPr>
            <w:tcW w:w="640" w:type="dxa"/>
          </w:tcPr>
          <w:p w14:paraId="493627B4" w14:textId="35E66EFF" w:rsidR="00C033EE" w:rsidRPr="006762D8" w:rsidRDefault="00C033EE" w:rsidP="00C033EE">
            <w:pPr>
              <w:pStyle w:val="TableParagraph"/>
              <w:ind w:left="57"/>
              <w:jc w:val="center"/>
              <w:rPr>
                <w:rFonts w:ascii="Arial" w:hAnsi="Arial" w:cs="Arial"/>
                <w:b/>
              </w:rPr>
            </w:pPr>
          </w:p>
        </w:tc>
      </w:tr>
      <w:tr w:rsidR="001A125C" w:rsidRPr="006762D8" w14:paraId="7E2E9A8E" w14:textId="77777777" w:rsidTr="001A125C">
        <w:trPr>
          <w:trHeight w:val="1483"/>
        </w:trPr>
        <w:tc>
          <w:tcPr>
            <w:tcW w:w="1134" w:type="dxa"/>
          </w:tcPr>
          <w:p w14:paraId="73B2D222" w14:textId="30CE34A3" w:rsidR="00C033EE" w:rsidRPr="006762D8" w:rsidRDefault="00C033EE" w:rsidP="003601E9">
            <w:pPr>
              <w:pStyle w:val="TableParagraph"/>
              <w:numPr>
                <w:ilvl w:val="1"/>
                <w:numId w:val="10"/>
              </w:numPr>
              <w:rPr>
                <w:rFonts w:ascii="Arial" w:hAnsi="Arial" w:cs="Arial"/>
              </w:rPr>
            </w:pPr>
          </w:p>
        </w:tc>
        <w:tc>
          <w:tcPr>
            <w:tcW w:w="7997" w:type="dxa"/>
          </w:tcPr>
          <w:p w14:paraId="2644A63B" w14:textId="0249C71E" w:rsidR="00C033EE" w:rsidRDefault="00C033EE" w:rsidP="003601E9">
            <w:pPr>
              <w:pStyle w:val="TableParagraph"/>
              <w:spacing w:before="1"/>
              <w:ind w:right="259"/>
              <w:jc w:val="both"/>
              <w:rPr>
                <w:rFonts w:ascii="Arial" w:hAnsi="Arial" w:cs="Arial"/>
              </w:rPr>
            </w:pPr>
            <w:r w:rsidRPr="006762D8">
              <w:rPr>
                <w:rFonts w:ascii="Arial" w:hAnsi="Arial" w:cs="Arial"/>
              </w:rPr>
              <w:t>obtain reliable, up-to-date information about remuneration developments, industry</w:t>
            </w:r>
            <w:r w:rsidRPr="003601E9">
              <w:rPr>
                <w:rFonts w:ascii="Arial" w:hAnsi="Arial" w:cs="Arial"/>
              </w:rPr>
              <w:t xml:space="preserve"> </w:t>
            </w:r>
            <w:r w:rsidRPr="006762D8">
              <w:rPr>
                <w:rFonts w:ascii="Arial" w:hAnsi="Arial" w:cs="Arial"/>
              </w:rPr>
              <w:t>guidance</w:t>
            </w:r>
            <w:r w:rsidRPr="003601E9">
              <w:rPr>
                <w:rFonts w:ascii="Arial" w:hAnsi="Arial" w:cs="Arial"/>
              </w:rPr>
              <w:t xml:space="preserve"> </w:t>
            </w:r>
            <w:r w:rsidRPr="006762D8">
              <w:rPr>
                <w:rFonts w:ascii="Arial" w:hAnsi="Arial" w:cs="Arial"/>
              </w:rPr>
              <w:t>and</w:t>
            </w:r>
            <w:r w:rsidRPr="003601E9">
              <w:rPr>
                <w:rFonts w:ascii="Arial" w:hAnsi="Arial" w:cs="Arial"/>
              </w:rPr>
              <w:t xml:space="preserve"> </w:t>
            </w:r>
            <w:r w:rsidRPr="006762D8">
              <w:rPr>
                <w:rFonts w:ascii="Arial" w:hAnsi="Arial" w:cs="Arial"/>
              </w:rPr>
              <w:t>benchmarking</w:t>
            </w:r>
            <w:r w:rsidRPr="003601E9">
              <w:rPr>
                <w:rFonts w:ascii="Arial" w:hAnsi="Arial" w:cs="Arial"/>
              </w:rPr>
              <w:t xml:space="preserve"> </w:t>
            </w:r>
            <w:r w:rsidRPr="006762D8">
              <w:rPr>
                <w:rFonts w:ascii="Arial" w:hAnsi="Arial" w:cs="Arial"/>
              </w:rPr>
              <w:t>remuneration</w:t>
            </w:r>
            <w:r w:rsidRPr="003601E9">
              <w:rPr>
                <w:rFonts w:ascii="Arial" w:hAnsi="Arial" w:cs="Arial"/>
              </w:rPr>
              <w:t xml:space="preserve"> </w:t>
            </w:r>
            <w:r w:rsidRPr="006762D8">
              <w:rPr>
                <w:rFonts w:ascii="Arial" w:hAnsi="Arial" w:cs="Arial"/>
              </w:rPr>
              <w:t>with</w:t>
            </w:r>
            <w:r w:rsidRPr="003601E9">
              <w:rPr>
                <w:rFonts w:ascii="Arial" w:hAnsi="Arial" w:cs="Arial"/>
              </w:rPr>
              <w:t xml:space="preserve"> </w:t>
            </w:r>
            <w:r w:rsidRPr="006762D8">
              <w:rPr>
                <w:rFonts w:ascii="Arial" w:hAnsi="Arial" w:cs="Arial"/>
              </w:rPr>
              <w:t>other</w:t>
            </w:r>
            <w:r w:rsidRPr="003601E9">
              <w:rPr>
                <w:rFonts w:ascii="Arial" w:hAnsi="Arial" w:cs="Arial"/>
              </w:rPr>
              <w:t xml:space="preserve"> </w:t>
            </w:r>
            <w:r w:rsidRPr="006762D8">
              <w:rPr>
                <w:rFonts w:ascii="Arial" w:hAnsi="Arial" w:cs="Arial"/>
              </w:rPr>
              <w:t>companies</w:t>
            </w:r>
            <w:r w:rsidRPr="003601E9">
              <w:rPr>
                <w:rFonts w:ascii="Arial" w:hAnsi="Arial" w:cs="Arial"/>
              </w:rPr>
              <w:t xml:space="preserve"> </w:t>
            </w:r>
            <w:r w:rsidRPr="006762D8">
              <w:rPr>
                <w:rFonts w:ascii="Arial" w:hAnsi="Arial" w:cs="Arial"/>
              </w:rPr>
              <w:t>of comparable</w:t>
            </w:r>
            <w:r w:rsidRPr="003601E9">
              <w:rPr>
                <w:rFonts w:ascii="Arial" w:hAnsi="Arial" w:cs="Arial"/>
              </w:rPr>
              <w:t xml:space="preserve"> </w:t>
            </w:r>
            <w:r w:rsidRPr="006762D8">
              <w:rPr>
                <w:rFonts w:ascii="Arial" w:hAnsi="Arial" w:cs="Arial"/>
              </w:rPr>
              <w:t>scale</w:t>
            </w:r>
            <w:r w:rsidRPr="003601E9">
              <w:rPr>
                <w:rFonts w:ascii="Arial" w:hAnsi="Arial" w:cs="Arial"/>
              </w:rPr>
              <w:t xml:space="preserve"> </w:t>
            </w:r>
            <w:r w:rsidRPr="006762D8">
              <w:rPr>
                <w:rFonts w:ascii="Arial" w:hAnsi="Arial" w:cs="Arial"/>
              </w:rPr>
              <w:t>and</w:t>
            </w:r>
            <w:r w:rsidRPr="003601E9">
              <w:rPr>
                <w:rFonts w:ascii="Arial" w:hAnsi="Arial" w:cs="Arial"/>
              </w:rPr>
              <w:t xml:space="preserve"> </w:t>
            </w:r>
            <w:r w:rsidRPr="006762D8">
              <w:rPr>
                <w:rFonts w:ascii="Arial" w:hAnsi="Arial" w:cs="Arial"/>
              </w:rPr>
              <w:t>complexity.</w:t>
            </w:r>
            <w:r w:rsidRPr="003601E9">
              <w:rPr>
                <w:rFonts w:ascii="Arial" w:hAnsi="Arial" w:cs="Arial"/>
              </w:rPr>
              <w:t xml:space="preserve"> </w:t>
            </w:r>
            <w:r w:rsidRPr="006762D8">
              <w:rPr>
                <w:rFonts w:ascii="Arial" w:hAnsi="Arial" w:cs="Arial"/>
              </w:rPr>
              <w:t>The</w:t>
            </w:r>
            <w:r w:rsidRPr="003601E9">
              <w:rPr>
                <w:rFonts w:ascii="Arial" w:hAnsi="Arial" w:cs="Arial"/>
              </w:rPr>
              <w:t xml:space="preserve"> </w:t>
            </w:r>
            <w:r w:rsidRPr="006762D8">
              <w:rPr>
                <w:rFonts w:ascii="Arial" w:hAnsi="Arial" w:cs="Arial"/>
              </w:rPr>
              <w:t>Committee</w:t>
            </w:r>
            <w:r w:rsidRPr="003601E9">
              <w:rPr>
                <w:rFonts w:ascii="Arial" w:hAnsi="Arial" w:cs="Arial"/>
              </w:rPr>
              <w:t xml:space="preserve"> </w:t>
            </w:r>
            <w:r w:rsidRPr="006762D8">
              <w:rPr>
                <w:rFonts w:ascii="Arial" w:hAnsi="Arial" w:cs="Arial"/>
              </w:rPr>
              <w:t>shall</w:t>
            </w:r>
            <w:r w:rsidRPr="003601E9">
              <w:rPr>
                <w:rFonts w:ascii="Arial" w:hAnsi="Arial" w:cs="Arial"/>
              </w:rPr>
              <w:t xml:space="preserve"> </w:t>
            </w:r>
            <w:r w:rsidRPr="006762D8">
              <w:rPr>
                <w:rFonts w:ascii="Arial" w:hAnsi="Arial" w:cs="Arial"/>
              </w:rPr>
              <w:t>have</w:t>
            </w:r>
            <w:r w:rsidRPr="003601E9">
              <w:rPr>
                <w:rFonts w:ascii="Arial" w:hAnsi="Arial" w:cs="Arial"/>
              </w:rPr>
              <w:t xml:space="preserve"> </w:t>
            </w:r>
            <w:r w:rsidRPr="006762D8">
              <w:rPr>
                <w:rFonts w:ascii="Arial" w:hAnsi="Arial" w:cs="Arial"/>
              </w:rPr>
              <w:t>full</w:t>
            </w:r>
            <w:r w:rsidRPr="003601E9">
              <w:rPr>
                <w:rFonts w:ascii="Arial" w:hAnsi="Arial" w:cs="Arial"/>
              </w:rPr>
              <w:t xml:space="preserve"> </w:t>
            </w:r>
            <w:r w:rsidRPr="006762D8">
              <w:rPr>
                <w:rFonts w:ascii="Arial" w:hAnsi="Arial" w:cs="Arial"/>
              </w:rPr>
              <w:t>authority</w:t>
            </w:r>
            <w:r w:rsidRPr="003601E9">
              <w:rPr>
                <w:rFonts w:ascii="Arial" w:hAnsi="Arial" w:cs="Arial"/>
              </w:rPr>
              <w:t xml:space="preserve"> </w:t>
            </w:r>
            <w:r w:rsidRPr="006762D8">
              <w:rPr>
                <w:rFonts w:ascii="Arial" w:hAnsi="Arial" w:cs="Arial"/>
              </w:rPr>
              <w:t>to commission any reports or surveys which it deems necessary to help it fulfil</w:t>
            </w:r>
            <w:r w:rsidRPr="003601E9">
              <w:rPr>
                <w:rFonts w:ascii="Arial" w:hAnsi="Arial" w:cs="Arial"/>
              </w:rPr>
              <w:t xml:space="preserve"> </w:t>
            </w:r>
            <w:r w:rsidRPr="006762D8">
              <w:rPr>
                <w:rFonts w:ascii="Arial" w:hAnsi="Arial" w:cs="Arial"/>
              </w:rPr>
              <w:t>its</w:t>
            </w:r>
            <w:r>
              <w:rPr>
                <w:rFonts w:ascii="Arial" w:hAnsi="Arial" w:cs="Arial"/>
              </w:rPr>
              <w:t xml:space="preserve"> </w:t>
            </w:r>
            <w:r w:rsidRPr="006762D8">
              <w:rPr>
                <w:rFonts w:ascii="Arial" w:hAnsi="Arial" w:cs="Arial"/>
              </w:rPr>
              <w:t>obligations;</w:t>
            </w:r>
          </w:p>
          <w:p w14:paraId="2A487840" w14:textId="0A2E1E14" w:rsidR="00C033EE" w:rsidRPr="006762D8" w:rsidRDefault="00C033EE" w:rsidP="003601E9">
            <w:pPr>
              <w:pStyle w:val="TableParagraph"/>
              <w:spacing w:before="1" w:line="249" w:lineRule="exact"/>
              <w:ind w:right="259"/>
              <w:jc w:val="both"/>
              <w:rPr>
                <w:rFonts w:ascii="Arial" w:hAnsi="Arial" w:cs="Arial"/>
              </w:rPr>
            </w:pPr>
          </w:p>
        </w:tc>
        <w:tc>
          <w:tcPr>
            <w:tcW w:w="640" w:type="dxa"/>
          </w:tcPr>
          <w:p w14:paraId="3939EC64" w14:textId="71C62249" w:rsidR="00C033EE" w:rsidRPr="006762D8" w:rsidRDefault="00C033EE" w:rsidP="00C033EE">
            <w:pPr>
              <w:pStyle w:val="TableParagraph"/>
              <w:ind w:left="57"/>
              <w:jc w:val="center"/>
              <w:rPr>
                <w:rFonts w:ascii="Arial" w:hAnsi="Arial" w:cs="Arial"/>
                <w:b/>
              </w:rPr>
            </w:pPr>
          </w:p>
        </w:tc>
      </w:tr>
      <w:tr w:rsidR="001A125C" w:rsidRPr="006762D8" w14:paraId="06F3FE11" w14:textId="77777777" w:rsidTr="001A125C">
        <w:trPr>
          <w:trHeight w:val="1483"/>
        </w:trPr>
        <w:tc>
          <w:tcPr>
            <w:tcW w:w="1134" w:type="dxa"/>
          </w:tcPr>
          <w:p w14:paraId="5CEC3ECF" w14:textId="5DF412D8" w:rsidR="00C033EE" w:rsidRPr="006762D8" w:rsidRDefault="00C033EE" w:rsidP="003601E9">
            <w:pPr>
              <w:pStyle w:val="TableParagraph"/>
              <w:numPr>
                <w:ilvl w:val="1"/>
                <w:numId w:val="10"/>
              </w:numPr>
              <w:rPr>
                <w:rFonts w:ascii="Arial" w:hAnsi="Arial" w:cs="Arial"/>
              </w:rPr>
            </w:pPr>
          </w:p>
        </w:tc>
        <w:tc>
          <w:tcPr>
            <w:tcW w:w="7997" w:type="dxa"/>
          </w:tcPr>
          <w:p w14:paraId="6E32638A" w14:textId="443F255A" w:rsidR="00C033EE" w:rsidRPr="006762D8" w:rsidRDefault="00C033EE" w:rsidP="003601E9">
            <w:pPr>
              <w:pStyle w:val="TableParagraph"/>
              <w:spacing w:before="1"/>
              <w:ind w:right="259"/>
              <w:jc w:val="both"/>
              <w:rPr>
                <w:rFonts w:ascii="Arial" w:hAnsi="Arial" w:cs="Arial"/>
              </w:rPr>
            </w:pPr>
            <w:r w:rsidRPr="006762D8">
              <w:rPr>
                <w:rFonts w:ascii="Arial" w:hAnsi="Arial" w:cs="Arial"/>
              </w:rPr>
              <w:t>review the performance metrics that form part of the performance assessment process for the executives and/or other employees and review workforce remuneration and related polices and the alignment of</w:t>
            </w:r>
            <w:r w:rsidRPr="003601E9">
              <w:rPr>
                <w:rFonts w:ascii="Arial" w:hAnsi="Arial" w:cs="Arial"/>
              </w:rPr>
              <w:t xml:space="preserve"> </w:t>
            </w:r>
            <w:r w:rsidRPr="006762D8">
              <w:rPr>
                <w:rFonts w:ascii="Arial" w:hAnsi="Arial" w:cs="Arial"/>
              </w:rPr>
              <w:t>incentives and rewards with culture, taking these into account when setting the policy for executive</w:t>
            </w:r>
            <w:r w:rsidRPr="003601E9">
              <w:rPr>
                <w:rFonts w:ascii="Arial" w:hAnsi="Arial" w:cs="Arial"/>
              </w:rPr>
              <w:t xml:space="preserve"> </w:t>
            </w:r>
            <w:r w:rsidRPr="006762D8">
              <w:rPr>
                <w:rFonts w:ascii="Arial" w:hAnsi="Arial" w:cs="Arial"/>
              </w:rPr>
              <w:t>remuneration;</w:t>
            </w:r>
          </w:p>
        </w:tc>
        <w:tc>
          <w:tcPr>
            <w:tcW w:w="640" w:type="dxa"/>
          </w:tcPr>
          <w:p w14:paraId="1E2184E5" w14:textId="7783D51D" w:rsidR="00C033EE" w:rsidRPr="006762D8" w:rsidRDefault="00C033EE" w:rsidP="00C033EE">
            <w:pPr>
              <w:pStyle w:val="TableParagraph"/>
              <w:spacing w:before="1"/>
              <w:ind w:left="57"/>
              <w:jc w:val="center"/>
              <w:rPr>
                <w:rFonts w:ascii="Arial" w:hAnsi="Arial" w:cs="Arial"/>
                <w:b/>
              </w:rPr>
            </w:pPr>
          </w:p>
        </w:tc>
      </w:tr>
      <w:tr w:rsidR="001A125C" w:rsidRPr="006762D8" w14:paraId="5D3DB97E" w14:textId="77777777" w:rsidTr="001A125C">
        <w:trPr>
          <w:trHeight w:val="1483"/>
        </w:trPr>
        <w:tc>
          <w:tcPr>
            <w:tcW w:w="1134" w:type="dxa"/>
          </w:tcPr>
          <w:p w14:paraId="5C08709D" w14:textId="328041E9" w:rsidR="00C033EE" w:rsidRPr="006762D8" w:rsidRDefault="00C033EE" w:rsidP="003601E9">
            <w:pPr>
              <w:pStyle w:val="TableParagraph"/>
              <w:numPr>
                <w:ilvl w:val="1"/>
                <w:numId w:val="10"/>
              </w:numPr>
              <w:rPr>
                <w:rFonts w:ascii="Arial" w:hAnsi="Arial" w:cs="Arial"/>
              </w:rPr>
            </w:pPr>
          </w:p>
        </w:tc>
        <w:tc>
          <w:tcPr>
            <w:tcW w:w="7997" w:type="dxa"/>
          </w:tcPr>
          <w:p w14:paraId="4AD5222F" w14:textId="30969ED8" w:rsidR="00C033EE" w:rsidRPr="006762D8" w:rsidRDefault="00C033EE" w:rsidP="003601E9">
            <w:pPr>
              <w:pStyle w:val="TableParagraph"/>
              <w:spacing w:before="1"/>
              <w:ind w:right="259"/>
              <w:jc w:val="both"/>
              <w:rPr>
                <w:rFonts w:ascii="Arial" w:hAnsi="Arial" w:cs="Arial"/>
              </w:rPr>
            </w:pPr>
            <w:r w:rsidRPr="00860ED7">
              <w:rPr>
                <w:rFonts w:ascii="Arial" w:hAnsi="Arial" w:cs="Arial"/>
              </w:rPr>
              <w:t xml:space="preserve">review and approve </w:t>
            </w:r>
            <w:r>
              <w:rPr>
                <w:rFonts w:ascii="Arial" w:hAnsi="Arial" w:cs="Arial"/>
              </w:rPr>
              <w:t xml:space="preserve">the </w:t>
            </w:r>
            <w:r w:rsidRPr="00860ED7">
              <w:rPr>
                <w:rFonts w:ascii="Arial" w:hAnsi="Arial" w:cs="Arial"/>
              </w:rPr>
              <w:t>Group Risk Adjustment Policy and Process document.  With input from the Group Chief Risk Officer and relevant functions as required, determine whether, and to what extent, risk adjustment should be applied at the variable remuneration pool level (through ex-ante risk adjustment) and the individual level (through ex-post risk adjustment</w:t>
            </w:r>
            <w:r>
              <w:rPr>
                <w:rFonts w:ascii="Arial" w:hAnsi="Arial" w:cs="Arial"/>
              </w:rPr>
              <w:t>)</w:t>
            </w:r>
            <w:r w:rsidRPr="00860ED7">
              <w:rPr>
                <w:rFonts w:ascii="Arial" w:hAnsi="Arial" w:cs="Arial"/>
              </w:rPr>
              <w:t>, taking into account any factors it determines relevant</w:t>
            </w:r>
            <w:r>
              <w:rPr>
                <w:rFonts w:ascii="Arial" w:hAnsi="Arial" w:cs="Arial"/>
              </w:rPr>
              <w:t>;</w:t>
            </w:r>
            <w:r w:rsidRPr="00860ED7">
              <w:rPr>
                <w:rFonts w:ascii="Arial" w:hAnsi="Arial" w:cs="Arial"/>
              </w:rPr>
              <w:t xml:space="preserve">  </w:t>
            </w:r>
          </w:p>
        </w:tc>
        <w:tc>
          <w:tcPr>
            <w:tcW w:w="640" w:type="dxa"/>
          </w:tcPr>
          <w:p w14:paraId="6D8D352C" w14:textId="7D6D4DB3" w:rsidR="00C033EE" w:rsidRPr="006762D8" w:rsidRDefault="00C033EE" w:rsidP="00C033EE">
            <w:pPr>
              <w:pStyle w:val="TableParagraph"/>
              <w:spacing w:before="1"/>
              <w:ind w:left="57"/>
              <w:jc w:val="center"/>
              <w:rPr>
                <w:rFonts w:ascii="Arial" w:hAnsi="Arial" w:cs="Arial"/>
                <w:b/>
              </w:rPr>
            </w:pPr>
          </w:p>
        </w:tc>
      </w:tr>
      <w:tr w:rsidR="001A125C" w:rsidRPr="006762D8" w14:paraId="3D45F230" w14:textId="77777777" w:rsidTr="001A125C">
        <w:trPr>
          <w:trHeight w:val="808"/>
        </w:trPr>
        <w:tc>
          <w:tcPr>
            <w:tcW w:w="1134" w:type="dxa"/>
          </w:tcPr>
          <w:p w14:paraId="68D236DE" w14:textId="00000D3D" w:rsidR="00C033EE" w:rsidRDefault="00C033EE" w:rsidP="003601E9">
            <w:pPr>
              <w:pStyle w:val="TableParagraph"/>
              <w:numPr>
                <w:ilvl w:val="1"/>
                <w:numId w:val="10"/>
              </w:numPr>
              <w:rPr>
                <w:rFonts w:ascii="Arial" w:hAnsi="Arial" w:cs="Arial"/>
              </w:rPr>
            </w:pPr>
          </w:p>
        </w:tc>
        <w:tc>
          <w:tcPr>
            <w:tcW w:w="7997" w:type="dxa"/>
          </w:tcPr>
          <w:p w14:paraId="2606A3FA" w14:textId="7D5012E3" w:rsidR="00C033EE" w:rsidRDefault="00C033EE" w:rsidP="003601E9">
            <w:pPr>
              <w:pStyle w:val="TableParagraph"/>
              <w:spacing w:before="1"/>
              <w:ind w:right="259"/>
              <w:jc w:val="both"/>
              <w:rPr>
                <w:rFonts w:ascii="Arial" w:hAnsi="Arial" w:cs="Arial"/>
              </w:rPr>
            </w:pPr>
            <w:r>
              <w:rPr>
                <w:rFonts w:ascii="Arial" w:hAnsi="Arial" w:cs="Arial"/>
              </w:rPr>
              <w:t xml:space="preserve">review and approve all non-standard forms of variable remuneration made to MRTs including guaranteed variable remuneration, buy-out awards, retention awards and severance payments; </w:t>
            </w:r>
          </w:p>
          <w:p w14:paraId="638FD669" w14:textId="3014B8EA" w:rsidR="003601E9" w:rsidRPr="00860ED7" w:rsidRDefault="003601E9" w:rsidP="003601E9">
            <w:pPr>
              <w:pStyle w:val="TableParagraph"/>
              <w:spacing w:before="1"/>
              <w:ind w:right="259"/>
              <w:jc w:val="both"/>
              <w:rPr>
                <w:rFonts w:ascii="Arial" w:hAnsi="Arial" w:cs="Arial"/>
              </w:rPr>
            </w:pPr>
          </w:p>
        </w:tc>
        <w:tc>
          <w:tcPr>
            <w:tcW w:w="640" w:type="dxa"/>
          </w:tcPr>
          <w:p w14:paraId="20216C56" w14:textId="1D08834D" w:rsidR="00C033EE" w:rsidRDefault="00C033EE" w:rsidP="00C033EE">
            <w:pPr>
              <w:pStyle w:val="TableParagraph"/>
              <w:ind w:left="57"/>
              <w:jc w:val="center"/>
              <w:rPr>
                <w:rFonts w:ascii="Arial" w:hAnsi="Arial" w:cs="Arial"/>
                <w:b/>
              </w:rPr>
            </w:pPr>
          </w:p>
        </w:tc>
      </w:tr>
      <w:tr w:rsidR="001A125C" w:rsidRPr="006762D8" w14:paraId="238B210D" w14:textId="77777777" w:rsidTr="001A125C">
        <w:trPr>
          <w:trHeight w:val="808"/>
        </w:trPr>
        <w:tc>
          <w:tcPr>
            <w:tcW w:w="1134" w:type="dxa"/>
          </w:tcPr>
          <w:p w14:paraId="3F1CCFC4" w14:textId="43BE54AB" w:rsidR="00C033EE" w:rsidRDefault="00C033EE" w:rsidP="003601E9">
            <w:pPr>
              <w:pStyle w:val="TableParagraph"/>
              <w:numPr>
                <w:ilvl w:val="1"/>
                <w:numId w:val="10"/>
              </w:numPr>
              <w:rPr>
                <w:rFonts w:ascii="Arial" w:hAnsi="Arial" w:cs="Arial"/>
              </w:rPr>
            </w:pPr>
          </w:p>
        </w:tc>
        <w:tc>
          <w:tcPr>
            <w:tcW w:w="7997" w:type="dxa"/>
          </w:tcPr>
          <w:p w14:paraId="1994D22F" w14:textId="16070355" w:rsidR="007527AC" w:rsidRDefault="00C033EE" w:rsidP="003601E9">
            <w:pPr>
              <w:pStyle w:val="TableParagraph"/>
              <w:spacing w:before="1"/>
              <w:ind w:right="259"/>
              <w:jc w:val="both"/>
              <w:rPr>
                <w:rFonts w:ascii="Arial" w:hAnsi="Arial" w:cs="Arial"/>
              </w:rPr>
            </w:pPr>
            <w:r w:rsidRPr="00860ED7">
              <w:rPr>
                <w:rFonts w:ascii="Arial" w:hAnsi="Arial" w:cs="Arial"/>
              </w:rPr>
              <w:t xml:space="preserve">review and approve any disclosures required to be made from time to time relating to the Group Remuneration Policy, including the preparation of the Remuneration Policy Statement and Pillar III </w:t>
            </w:r>
            <w:r>
              <w:rPr>
                <w:rFonts w:ascii="Arial" w:hAnsi="Arial" w:cs="Arial"/>
              </w:rPr>
              <w:t>remuneration disclosure</w:t>
            </w:r>
            <w:r w:rsidRPr="00860ED7">
              <w:rPr>
                <w:rFonts w:ascii="Arial" w:hAnsi="Arial" w:cs="Arial"/>
              </w:rPr>
              <w:t>, as required under the IFPR and IFD remuneration rules</w:t>
            </w:r>
            <w:r w:rsidR="003601E9">
              <w:rPr>
                <w:rFonts w:ascii="Arial" w:hAnsi="Arial" w:cs="Arial"/>
              </w:rPr>
              <w:t>; and</w:t>
            </w:r>
          </w:p>
          <w:p w14:paraId="4F5B7961" w14:textId="60723CD6" w:rsidR="003601E9" w:rsidRPr="00860ED7" w:rsidRDefault="003601E9" w:rsidP="003601E9">
            <w:pPr>
              <w:pStyle w:val="TableParagraph"/>
              <w:spacing w:before="1"/>
              <w:ind w:right="259"/>
              <w:jc w:val="both"/>
              <w:rPr>
                <w:rFonts w:ascii="Arial" w:hAnsi="Arial" w:cs="Arial"/>
              </w:rPr>
            </w:pPr>
          </w:p>
        </w:tc>
        <w:tc>
          <w:tcPr>
            <w:tcW w:w="640" w:type="dxa"/>
          </w:tcPr>
          <w:p w14:paraId="034C5CA7" w14:textId="77C2F172" w:rsidR="00C033EE" w:rsidRDefault="00C033EE" w:rsidP="00C033EE">
            <w:pPr>
              <w:pStyle w:val="TableParagraph"/>
              <w:ind w:left="57"/>
              <w:jc w:val="center"/>
              <w:rPr>
                <w:rFonts w:ascii="Arial" w:hAnsi="Arial" w:cs="Arial"/>
                <w:b/>
              </w:rPr>
            </w:pPr>
          </w:p>
        </w:tc>
      </w:tr>
      <w:tr w:rsidR="007527AC" w:rsidRPr="007527AC" w14:paraId="3B992430" w14:textId="77777777" w:rsidTr="001A125C">
        <w:trPr>
          <w:trHeight w:val="808"/>
        </w:trPr>
        <w:tc>
          <w:tcPr>
            <w:tcW w:w="1134" w:type="dxa"/>
          </w:tcPr>
          <w:p w14:paraId="1ECAA604" w14:textId="77777777" w:rsidR="007527AC" w:rsidDel="000A011D" w:rsidRDefault="007527AC" w:rsidP="007527AC">
            <w:pPr>
              <w:pStyle w:val="TableParagraph"/>
              <w:numPr>
                <w:ilvl w:val="1"/>
                <w:numId w:val="10"/>
              </w:numPr>
              <w:rPr>
                <w:rFonts w:ascii="Arial" w:hAnsi="Arial" w:cs="Arial"/>
              </w:rPr>
            </w:pPr>
          </w:p>
        </w:tc>
        <w:tc>
          <w:tcPr>
            <w:tcW w:w="7997" w:type="dxa"/>
          </w:tcPr>
          <w:p w14:paraId="5F4FADCF" w14:textId="3305CC76" w:rsidR="007527AC" w:rsidRPr="00860ED7" w:rsidRDefault="000D13D3" w:rsidP="003601E9">
            <w:pPr>
              <w:pStyle w:val="TableParagraph"/>
              <w:spacing w:before="1"/>
              <w:ind w:right="259"/>
              <w:jc w:val="both"/>
              <w:rPr>
                <w:rFonts w:ascii="Arial" w:hAnsi="Arial" w:cs="Arial"/>
              </w:rPr>
            </w:pPr>
            <w:r>
              <w:rPr>
                <w:rStyle w:val="normaltextrun"/>
                <w:rFonts w:ascii="Arial" w:hAnsi="Arial" w:cs="Arial"/>
                <w:color w:val="000000"/>
                <w:shd w:val="clear" w:color="auto" w:fill="FFFFFF"/>
              </w:rPr>
              <w:t xml:space="preserve">have regard to, or consider in the reporting to the Committee, </w:t>
            </w:r>
            <w:r w:rsidR="007527AC" w:rsidRPr="003601E9">
              <w:rPr>
                <w:rFonts w:ascii="Arial" w:hAnsi="Arial" w:cs="Arial"/>
              </w:rPr>
              <w:t>management's compliance with</w:t>
            </w:r>
            <w:r w:rsidR="007527AC">
              <w:rPr>
                <w:rFonts w:ascii="Arial" w:hAnsi="Arial" w:cs="Arial"/>
              </w:rPr>
              <w:t xml:space="preserve"> the</w:t>
            </w:r>
            <w:r w:rsidR="007527AC" w:rsidRPr="003601E9">
              <w:rPr>
                <w:rFonts w:ascii="Arial" w:hAnsi="Arial" w:cs="Arial"/>
              </w:rPr>
              <w:t xml:space="preserve"> new (twelfth) FCA Principle introduced by the FCA's Consumer Duty regulation which requires firms “to act to deliver good outcomes for retail clients” in respect of UK regulated entities. Consumer Duty creates a higher and more exacting standard of conduct. The Co</w:t>
            </w:r>
            <w:r w:rsidR="005D4EE0">
              <w:rPr>
                <w:rFonts w:ascii="Arial" w:hAnsi="Arial" w:cs="Arial"/>
              </w:rPr>
              <w:t xml:space="preserve">mmittee </w:t>
            </w:r>
            <w:r w:rsidR="007527AC" w:rsidRPr="003601E9">
              <w:rPr>
                <w:rFonts w:ascii="Arial" w:hAnsi="Arial" w:cs="Arial"/>
              </w:rPr>
              <w:t>must give due consideration to the aims of this Principle when considering remuneration and incentive schemes to ensure appropriate alignment with the Principle</w:t>
            </w:r>
            <w:r w:rsidR="005D4EE0">
              <w:rPr>
                <w:rFonts w:ascii="Arial" w:hAnsi="Arial" w:cs="Arial"/>
              </w:rPr>
              <w:t>.</w:t>
            </w:r>
          </w:p>
        </w:tc>
        <w:tc>
          <w:tcPr>
            <w:tcW w:w="640" w:type="dxa"/>
          </w:tcPr>
          <w:p w14:paraId="0ECBCD8C" w14:textId="77777777" w:rsidR="007527AC" w:rsidRPr="003601E9" w:rsidDel="001025A4" w:rsidRDefault="007527AC" w:rsidP="003601E9">
            <w:pPr>
              <w:pStyle w:val="TableParagraph"/>
              <w:ind w:right="286"/>
              <w:jc w:val="both"/>
              <w:rPr>
                <w:rFonts w:ascii="Arial" w:hAnsi="Arial" w:cs="Arial"/>
              </w:rPr>
            </w:pPr>
          </w:p>
        </w:tc>
      </w:tr>
    </w:tbl>
    <w:p w14:paraId="4DEFA1C5" w14:textId="77777777" w:rsidR="00193B85" w:rsidRPr="003601E9" w:rsidRDefault="00193B85" w:rsidP="008D3C86">
      <w:pPr>
        <w:pStyle w:val="TableParagraph"/>
        <w:spacing w:before="0"/>
        <w:ind w:right="286"/>
        <w:jc w:val="both"/>
        <w:rPr>
          <w:rFonts w:ascii="Arial" w:hAnsi="Arial" w:cs="Arial"/>
        </w:rPr>
      </w:pPr>
    </w:p>
    <w:p w14:paraId="7EF3640F" w14:textId="77777777" w:rsidR="00193B85" w:rsidRPr="006762D8" w:rsidRDefault="00D96639">
      <w:pPr>
        <w:pStyle w:val="Heading1"/>
        <w:numPr>
          <w:ilvl w:val="0"/>
          <w:numId w:val="4"/>
        </w:numPr>
        <w:tabs>
          <w:tab w:val="left" w:pos="866"/>
          <w:tab w:val="left" w:pos="867"/>
        </w:tabs>
        <w:spacing w:before="101"/>
        <w:ind w:hanging="721"/>
        <w:rPr>
          <w:rFonts w:ascii="Arial" w:hAnsi="Arial" w:cs="Arial"/>
        </w:rPr>
      </w:pPr>
      <w:r w:rsidRPr="006762D8">
        <w:rPr>
          <w:rFonts w:ascii="Arial" w:hAnsi="Arial" w:cs="Arial"/>
        </w:rPr>
        <w:t>Membership</w:t>
      </w:r>
    </w:p>
    <w:p w14:paraId="5A529B98" w14:textId="77777777" w:rsidR="00193B85" w:rsidRPr="006762D8" w:rsidRDefault="00193B85">
      <w:pPr>
        <w:pStyle w:val="BodyText"/>
        <w:spacing w:before="10"/>
        <w:rPr>
          <w:rFonts w:ascii="Arial" w:hAnsi="Arial" w:cs="Arial"/>
          <w:b/>
        </w:rPr>
      </w:pPr>
    </w:p>
    <w:p w14:paraId="2E27F1B5" w14:textId="456D9648" w:rsidR="00193B85" w:rsidRPr="006762D8" w:rsidRDefault="00D96639" w:rsidP="00330F6A">
      <w:pPr>
        <w:pStyle w:val="ListParagraph"/>
        <w:numPr>
          <w:ilvl w:val="1"/>
          <w:numId w:val="4"/>
        </w:numPr>
        <w:tabs>
          <w:tab w:val="left" w:pos="867"/>
        </w:tabs>
        <w:ind w:right="99"/>
        <w:rPr>
          <w:rFonts w:ascii="Arial" w:hAnsi="Arial" w:cs="Arial"/>
        </w:rPr>
      </w:pPr>
      <w:r w:rsidRPr="006762D8">
        <w:rPr>
          <w:rFonts w:ascii="Arial" w:hAnsi="Arial" w:cs="Arial"/>
        </w:rPr>
        <w:t>Members of the Committee shall be appointed by the Board, on the recommendation of the Nomination Committee in consultation with the Committee</w:t>
      </w:r>
      <w:r w:rsidRPr="006762D8">
        <w:rPr>
          <w:rFonts w:ascii="Arial" w:hAnsi="Arial" w:cs="Arial"/>
          <w:spacing w:val="-12"/>
        </w:rPr>
        <w:t xml:space="preserve"> </w:t>
      </w:r>
      <w:r w:rsidRPr="006762D8">
        <w:rPr>
          <w:rFonts w:ascii="Arial" w:hAnsi="Arial" w:cs="Arial"/>
        </w:rPr>
        <w:t>Chair.</w:t>
      </w:r>
    </w:p>
    <w:p w14:paraId="4D707E47" w14:textId="0B7A6156" w:rsidR="00193B85" w:rsidRPr="006762D8" w:rsidRDefault="00D96639" w:rsidP="00330F6A">
      <w:pPr>
        <w:pStyle w:val="ListParagraph"/>
        <w:numPr>
          <w:ilvl w:val="1"/>
          <w:numId w:val="4"/>
        </w:numPr>
        <w:tabs>
          <w:tab w:val="left" w:pos="867"/>
        </w:tabs>
        <w:spacing w:before="151" w:after="240"/>
        <w:ind w:right="99"/>
        <w:rPr>
          <w:rFonts w:ascii="Arial" w:hAnsi="Arial" w:cs="Arial"/>
        </w:rPr>
      </w:pPr>
      <w:r w:rsidRPr="006762D8">
        <w:rPr>
          <w:rFonts w:ascii="Arial" w:hAnsi="Arial" w:cs="Arial"/>
        </w:rPr>
        <w:t xml:space="preserve">The Committee shall be made up of at least three </w:t>
      </w:r>
      <w:r w:rsidR="006F5A96">
        <w:rPr>
          <w:rFonts w:ascii="Arial" w:hAnsi="Arial" w:cs="Arial"/>
        </w:rPr>
        <w:t xml:space="preserve">members, all of whom shall be </w:t>
      </w:r>
      <w:r w:rsidRPr="006762D8">
        <w:rPr>
          <w:rFonts w:ascii="Arial" w:hAnsi="Arial" w:cs="Arial"/>
        </w:rPr>
        <w:t xml:space="preserve">independent </w:t>
      </w:r>
      <w:r w:rsidR="00C038DD" w:rsidRPr="006762D8">
        <w:rPr>
          <w:rFonts w:ascii="Arial" w:hAnsi="Arial" w:cs="Arial"/>
        </w:rPr>
        <w:t>N</w:t>
      </w:r>
      <w:r w:rsidRPr="006762D8">
        <w:rPr>
          <w:rFonts w:ascii="Arial" w:hAnsi="Arial" w:cs="Arial"/>
        </w:rPr>
        <w:t>on-</w:t>
      </w:r>
      <w:r w:rsidR="00C038DD" w:rsidRPr="006762D8">
        <w:rPr>
          <w:rFonts w:ascii="Arial" w:hAnsi="Arial" w:cs="Arial"/>
        </w:rPr>
        <w:t>E</w:t>
      </w:r>
      <w:r w:rsidRPr="006762D8">
        <w:rPr>
          <w:rFonts w:ascii="Arial" w:hAnsi="Arial" w:cs="Arial"/>
        </w:rPr>
        <w:t xml:space="preserve">xecutive </w:t>
      </w:r>
      <w:r w:rsidR="00C038DD" w:rsidRPr="006762D8">
        <w:rPr>
          <w:rFonts w:ascii="Arial" w:hAnsi="Arial" w:cs="Arial"/>
        </w:rPr>
        <w:t>D</w:t>
      </w:r>
      <w:r w:rsidRPr="006762D8">
        <w:rPr>
          <w:rFonts w:ascii="Arial" w:hAnsi="Arial" w:cs="Arial"/>
        </w:rPr>
        <w:t xml:space="preserve">irectors. The Chair of the Board may also serve as an additional member of the Committee if </w:t>
      </w:r>
      <w:r w:rsidR="00D9088E">
        <w:rPr>
          <w:rFonts w:ascii="Arial" w:hAnsi="Arial" w:cs="Arial"/>
        </w:rPr>
        <w:t>they were</w:t>
      </w:r>
      <w:r w:rsidRPr="006762D8">
        <w:rPr>
          <w:rFonts w:ascii="Arial" w:hAnsi="Arial" w:cs="Arial"/>
          <w:spacing w:val="-7"/>
        </w:rPr>
        <w:t xml:space="preserve"> </w:t>
      </w:r>
      <w:r w:rsidRPr="006762D8">
        <w:rPr>
          <w:rFonts w:ascii="Arial" w:hAnsi="Arial" w:cs="Arial"/>
        </w:rPr>
        <w:t>considered</w:t>
      </w:r>
      <w:r w:rsidRPr="006762D8">
        <w:rPr>
          <w:rFonts w:ascii="Arial" w:hAnsi="Arial" w:cs="Arial"/>
          <w:spacing w:val="-8"/>
        </w:rPr>
        <w:t xml:space="preserve"> </w:t>
      </w:r>
      <w:r w:rsidRPr="006762D8">
        <w:rPr>
          <w:rFonts w:ascii="Arial" w:hAnsi="Arial" w:cs="Arial"/>
        </w:rPr>
        <w:t>independent</w:t>
      </w:r>
      <w:r w:rsidRPr="006762D8">
        <w:rPr>
          <w:rFonts w:ascii="Arial" w:hAnsi="Arial" w:cs="Arial"/>
          <w:spacing w:val="-9"/>
        </w:rPr>
        <w:t xml:space="preserve"> </w:t>
      </w:r>
      <w:r w:rsidRPr="006762D8">
        <w:rPr>
          <w:rFonts w:ascii="Arial" w:hAnsi="Arial" w:cs="Arial"/>
        </w:rPr>
        <w:t>on</w:t>
      </w:r>
      <w:r w:rsidRPr="006762D8">
        <w:rPr>
          <w:rFonts w:ascii="Arial" w:hAnsi="Arial" w:cs="Arial"/>
          <w:spacing w:val="-9"/>
        </w:rPr>
        <w:t xml:space="preserve"> </w:t>
      </w:r>
      <w:r w:rsidRPr="006762D8">
        <w:rPr>
          <w:rFonts w:ascii="Arial" w:hAnsi="Arial" w:cs="Arial"/>
        </w:rPr>
        <w:t>appointment</w:t>
      </w:r>
      <w:r w:rsidRPr="006762D8">
        <w:rPr>
          <w:rFonts w:ascii="Arial" w:hAnsi="Arial" w:cs="Arial"/>
          <w:spacing w:val="-8"/>
        </w:rPr>
        <w:t xml:space="preserve"> </w:t>
      </w:r>
      <w:r w:rsidRPr="006762D8">
        <w:rPr>
          <w:rFonts w:ascii="Arial" w:hAnsi="Arial" w:cs="Arial"/>
        </w:rPr>
        <w:t>as</w:t>
      </w:r>
      <w:r w:rsidRPr="006762D8">
        <w:rPr>
          <w:rFonts w:ascii="Arial" w:hAnsi="Arial" w:cs="Arial"/>
          <w:spacing w:val="-8"/>
        </w:rPr>
        <w:t xml:space="preserve"> </w:t>
      </w:r>
      <w:r w:rsidRPr="006762D8">
        <w:rPr>
          <w:rFonts w:ascii="Arial" w:hAnsi="Arial" w:cs="Arial"/>
        </w:rPr>
        <w:t>Chair.</w:t>
      </w:r>
      <w:r w:rsidRPr="006762D8">
        <w:rPr>
          <w:rFonts w:ascii="Arial" w:hAnsi="Arial" w:cs="Arial"/>
          <w:spacing w:val="-8"/>
        </w:rPr>
        <w:t xml:space="preserve"> </w:t>
      </w:r>
      <w:r w:rsidRPr="006762D8">
        <w:rPr>
          <w:rFonts w:ascii="Arial" w:hAnsi="Arial" w:cs="Arial"/>
        </w:rPr>
        <w:t>The</w:t>
      </w:r>
      <w:r w:rsidRPr="006762D8">
        <w:rPr>
          <w:rFonts w:ascii="Arial" w:hAnsi="Arial" w:cs="Arial"/>
          <w:spacing w:val="-8"/>
        </w:rPr>
        <w:t xml:space="preserve"> </w:t>
      </w:r>
      <w:r w:rsidRPr="006762D8">
        <w:rPr>
          <w:rFonts w:ascii="Arial" w:hAnsi="Arial" w:cs="Arial"/>
        </w:rPr>
        <w:t>Chair</w:t>
      </w:r>
      <w:r w:rsidRPr="006762D8">
        <w:rPr>
          <w:rFonts w:ascii="Arial" w:hAnsi="Arial" w:cs="Arial"/>
          <w:spacing w:val="-7"/>
        </w:rPr>
        <w:t xml:space="preserve"> </w:t>
      </w:r>
      <w:r w:rsidRPr="006762D8">
        <w:rPr>
          <w:rFonts w:ascii="Arial" w:hAnsi="Arial" w:cs="Arial"/>
        </w:rPr>
        <w:t>of</w:t>
      </w:r>
      <w:r w:rsidRPr="006762D8">
        <w:rPr>
          <w:rFonts w:ascii="Arial" w:hAnsi="Arial" w:cs="Arial"/>
          <w:spacing w:val="-9"/>
        </w:rPr>
        <w:t xml:space="preserve"> </w:t>
      </w:r>
      <w:r w:rsidRPr="006762D8">
        <w:rPr>
          <w:rFonts w:ascii="Arial" w:hAnsi="Arial" w:cs="Arial"/>
        </w:rPr>
        <w:t>the Board shall not be Committee</w:t>
      </w:r>
      <w:r w:rsidRPr="006762D8">
        <w:rPr>
          <w:rFonts w:ascii="Arial" w:hAnsi="Arial" w:cs="Arial"/>
          <w:spacing w:val="-5"/>
        </w:rPr>
        <w:t xml:space="preserve"> </w:t>
      </w:r>
      <w:r w:rsidRPr="006762D8">
        <w:rPr>
          <w:rFonts w:ascii="Arial" w:hAnsi="Arial" w:cs="Arial"/>
        </w:rPr>
        <w:t>Chair.</w:t>
      </w:r>
    </w:p>
    <w:p w14:paraId="63B7D636" w14:textId="3E5508B2" w:rsidR="00193B85" w:rsidRPr="006762D8" w:rsidRDefault="00D96639" w:rsidP="00330F6A">
      <w:pPr>
        <w:pStyle w:val="ListParagraph"/>
        <w:numPr>
          <w:ilvl w:val="1"/>
          <w:numId w:val="4"/>
        </w:numPr>
        <w:tabs>
          <w:tab w:val="left" w:pos="867"/>
        </w:tabs>
        <w:spacing w:before="1"/>
        <w:ind w:right="99"/>
        <w:rPr>
          <w:rFonts w:ascii="Arial" w:hAnsi="Arial" w:cs="Arial"/>
        </w:rPr>
      </w:pPr>
      <w:r w:rsidRPr="006762D8">
        <w:rPr>
          <w:rFonts w:ascii="Arial" w:hAnsi="Arial" w:cs="Arial"/>
        </w:rPr>
        <w:t>Only members of the Committee have the right to attend Committee meetings. However, other</w:t>
      </w:r>
      <w:r w:rsidRPr="006762D8">
        <w:rPr>
          <w:rFonts w:ascii="Arial" w:hAnsi="Arial" w:cs="Arial"/>
          <w:spacing w:val="-7"/>
        </w:rPr>
        <w:t xml:space="preserve"> </w:t>
      </w:r>
      <w:r w:rsidRPr="006762D8">
        <w:rPr>
          <w:rFonts w:ascii="Arial" w:hAnsi="Arial" w:cs="Arial"/>
        </w:rPr>
        <w:t>individuals</w:t>
      </w:r>
      <w:r w:rsidRPr="006762D8">
        <w:rPr>
          <w:rFonts w:ascii="Arial" w:hAnsi="Arial" w:cs="Arial"/>
          <w:spacing w:val="-6"/>
        </w:rPr>
        <w:t xml:space="preserve"> </w:t>
      </w:r>
      <w:r w:rsidRPr="006762D8">
        <w:rPr>
          <w:rFonts w:ascii="Arial" w:hAnsi="Arial" w:cs="Arial"/>
        </w:rPr>
        <w:t>such</w:t>
      </w:r>
      <w:r w:rsidRPr="006762D8">
        <w:rPr>
          <w:rFonts w:ascii="Arial" w:hAnsi="Arial" w:cs="Arial"/>
          <w:spacing w:val="-10"/>
        </w:rPr>
        <w:t xml:space="preserve"> </w:t>
      </w:r>
      <w:r w:rsidRPr="006762D8">
        <w:rPr>
          <w:rFonts w:ascii="Arial" w:hAnsi="Arial" w:cs="Arial"/>
        </w:rPr>
        <w:t>as</w:t>
      </w:r>
      <w:r w:rsidRPr="006762D8">
        <w:rPr>
          <w:rFonts w:ascii="Arial" w:hAnsi="Arial" w:cs="Arial"/>
          <w:spacing w:val="-5"/>
        </w:rPr>
        <w:t xml:space="preserve"> </w:t>
      </w:r>
      <w:r w:rsidRPr="006762D8">
        <w:rPr>
          <w:rFonts w:ascii="Arial" w:hAnsi="Arial" w:cs="Arial"/>
        </w:rPr>
        <w:t>the</w:t>
      </w:r>
      <w:r w:rsidRPr="006762D8">
        <w:rPr>
          <w:rFonts w:ascii="Arial" w:hAnsi="Arial" w:cs="Arial"/>
          <w:spacing w:val="-4"/>
        </w:rPr>
        <w:t xml:space="preserve"> </w:t>
      </w:r>
      <w:r w:rsidRPr="006762D8">
        <w:rPr>
          <w:rFonts w:ascii="Arial" w:hAnsi="Arial" w:cs="Arial"/>
        </w:rPr>
        <w:t>Chair</w:t>
      </w:r>
      <w:r w:rsidRPr="006762D8">
        <w:rPr>
          <w:rFonts w:ascii="Arial" w:hAnsi="Arial" w:cs="Arial"/>
          <w:spacing w:val="-7"/>
        </w:rPr>
        <w:t xml:space="preserve"> </w:t>
      </w:r>
      <w:r w:rsidRPr="006762D8">
        <w:rPr>
          <w:rFonts w:ascii="Arial" w:hAnsi="Arial" w:cs="Arial"/>
        </w:rPr>
        <w:t>of</w:t>
      </w:r>
      <w:r w:rsidRPr="006762D8">
        <w:rPr>
          <w:rFonts w:ascii="Arial" w:hAnsi="Arial" w:cs="Arial"/>
          <w:spacing w:val="-8"/>
        </w:rPr>
        <w:t xml:space="preserve"> </w:t>
      </w:r>
      <w:r w:rsidRPr="006762D8">
        <w:rPr>
          <w:rFonts w:ascii="Arial" w:hAnsi="Arial" w:cs="Arial"/>
        </w:rPr>
        <w:t>the</w:t>
      </w:r>
      <w:r w:rsidRPr="006762D8">
        <w:rPr>
          <w:rFonts w:ascii="Arial" w:hAnsi="Arial" w:cs="Arial"/>
          <w:spacing w:val="-8"/>
        </w:rPr>
        <w:t xml:space="preserve"> </w:t>
      </w:r>
      <w:r w:rsidRPr="006762D8">
        <w:rPr>
          <w:rFonts w:ascii="Arial" w:hAnsi="Arial" w:cs="Arial"/>
        </w:rPr>
        <w:t>Board</w:t>
      </w:r>
      <w:r w:rsidRPr="006762D8">
        <w:rPr>
          <w:rFonts w:ascii="Arial" w:hAnsi="Arial" w:cs="Arial"/>
          <w:spacing w:val="-7"/>
        </w:rPr>
        <w:t xml:space="preserve"> </w:t>
      </w:r>
      <w:r w:rsidR="00D9088E">
        <w:rPr>
          <w:rFonts w:ascii="Arial" w:hAnsi="Arial" w:cs="Arial"/>
          <w:spacing w:val="-7"/>
        </w:rPr>
        <w:t>(</w:t>
      </w:r>
      <w:r w:rsidRPr="006762D8">
        <w:rPr>
          <w:rFonts w:ascii="Arial" w:hAnsi="Arial" w:cs="Arial"/>
        </w:rPr>
        <w:t>if</w:t>
      </w:r>
      <w:r w:rsidRPr="006762D8">
        <w:rPr>
          <w:rFonts w:ascii="Arial" w:hAnsi="Arial" w:cs="Arial"/>
          <w:spacing w:val="-7"/>
        </w:rPr>
        <w:t xml:space="preserve"> </w:t>
      </w:r>
      <w:r w:rsidRPr="006762D8">
        <w:rPr>
          <w:rFonts w:ascii="Arial" w:hAnsi="Arial" w:cs="Arial"/>
        </w:rPr>
        <w:t>not</w:t>
      </w:r>
      <w:r w:rsidRPr="006762D8">
        <w:rPr>
          <w:rFonts w:ascii="Arial" w:hAnsi="Arial" w:cs="Arial"/>
          <w:spacing w:val="-7"/>
        </w:rPr>
        <w:t xml:space="preserve"> </w:t>
      </w:r>
      <w:r w:rsidRPr="006762D8">
        <w:rPr>
          <w:rFonts w:ascii="Arial" w:hAnsi="Arial" w:cs="Arial"/>
        </w:rPr>
        <w:t>a</w:t>
      </w:r>
      <w:r w:rsidRPr="006762D8">
        <w:rPr>
          <w:rFonts w:ascii="Arial" w:hAnsi="Arial" w:cs="Arial"/>
          <w:spacing w:val="-7"/>
        </w:rPr>
        <w:t xml:space="preserve"> </w:t>
      </w:r>
      <w:r w:rsidRPr="006762D8">
        <w:rPr>
          <w:rFonts w:ascii="Arial" w:hAnsi="Arial" w:cs="Arial"/>
        </w:rPr>
        <w:t>member</w:t>
      </w:r>
      <w:r w:rsidRPr="006762D8">
        <w:rPr>
          <w:rFonts w:ascii="Arial" w:hAnsi="Arial" w:cs="Arial"/>
          <w:spacing w:val="-8"/>
        </w:rPr>
        <w:t xml:space="preserve"> </w:t>
      </w:r>
      <w:r w:rsidRPr="006762D8">
        <w:rPr>
          <w:rFonts w:ascii="Arial" w:hAnsi="Arial" w:cs="Arial"/>
        </w:rPr>
        <w:t>of</w:t>
      </w:r>
      <w:r w:rsidRPr="006762D8">
        <w:rPr>
          <w:rFonts w:ascii="Arial" w:hAnsi="Arial" w:cs="Arial"/>
          <w:spacing w:val="-8"/>
        </w:rPr>
        <w:t xml:space="preserve"> </w:t>
      </w:r>
      <w:r w:rsidRPr="006762D8">
        <w:rPr>
          <w:rFonts w:ascii="Arial" w:hAnsi="Arial" w:cs="Arial"/>
        </w:rPr>
        <w:t>the</w:t>
      </w:r>
      <w:r w:rsidRPr="006762D8">
        <w:rPr>
          <w:rFonts w:ascii="Arial" w:hAnsi="Arial" w:cs="Arial"/>
          <w:spacing w:val="-6"/>
        </w:rPr>
        <w:t xml:space="preserve"> </w:t>
      </w:r>
      <w:r w:rsidRPr="006762D8">
        <w:rPr>
          <w:rFonts w:ascii="Arial" w:hAnsi="Arial" w:cs="Arial"/>
        </w:rPr>
        <w:t>Committee</w:t>
      </w:r>
      <w:r w:rsidR="00D9088E">
        <w:rPr>
          <w:rFonts w:ascii="Arial" w:hAnsi="Arial" w:cs="Arial"/>
        </w:rPr>
        <w:t>)</w:t>
      </w:r>
      <w:r w:rsidRPr="006762D8">
        <w:rPr>
          <w:rFonts w:ascii="Arial" w:hAnsi="Arial" w:cs="Arial"/>
        </w:rPr>
        <w:t>,</w:t>
      </w:r>
      <w:r w:rsidRPr="006762D8">
        <w:rPr>
          <w:rFonts w:ascii="Arial" w:hAnsi="Arial" w:cs="Arial"/>
          <w:spacing w:val="-7"/>
        </w:rPr>
        <w:t xml:space="preserve"> </w:t>
      </w:r>
      <w:r w:rsidRPr="006762D8">
        <w:rPr>
          <w:rFonts w:ascii="Arial" w:hAnsi="Arial" w:cs="Arial"/>
        </w:rPr>
        <w:t>the Chief Executive, the Chief People Officer, the Group Chief Risk Officer</w:t>
      </w:r>
      <w:r w:rsidRPr="006762D8">
        <w:rPr>
          <w:rFonts w:ascii="Arial" w:hAnsi="Arial" w:cs="Arial"/>
          <w:spacing w:val="26"/>
        </w:rPr>
        <w:t xml:space="preserve"> </w:t>
      </w:r>
      <w:r w:rsidRPr="006762D8">
        <w:rPr>
          <w:rFonts w:ascii="Arial" w:hAnsi="Arial" w:cs="Arial"/>
        </w:rPr>
        <w:t>and</w:t>
      </w:r>
      <w:r w:rsidRPr="006762D8">
        <w:rPr>
          <w:rFonts w:ascii="Arial" w:hAnsi="Arial" w:cs="Arial"/>
          <w:spacing w:val="13"/>
        </w:rPr>
        <w:t xml:space="preserve"> </w:t>
      </w:r>
      <w:r w:rsidRPr="006762D8">
        <w:rPr>
          <w:rFonts w:ascii="Arial" w:hAnsi="Arial" w:cs="Arial"/>
        </w:rPr>
        <w:t>external</w:t>
      </w:r>
      <w:r w:rsidRPr="006762D8">
        <w:rPr>
          <w:rFonts w:ascii="Arial" w:hAnsi="Arial" w:cs="Arial"/>
          <w:spacing w:val="13"/>
        </w:rPr>
        <w:t xml:space="preserve"> </w:t>
      </w:r>
      <w:r w:rsidRPr="006762D8">
        <w:rPr>
          <w:rFonts w:ascii="Arial" w:hAnsi="Arial" w:cs="Arial"/>
        </w:rPr>
        <w:t>advisers</w:t>
      </w:r>
      <w:r w:rsidRPr="006762D8">
        <w:rPr>
          <w:rFonts w:ascii="Arial" w:hAnsi="Arial" w:cs="Arial"/>
          <w:spacing w:val="12"/>
        </w:rPr>
        <w:t xml:space="preserve"> </w:t>
      </w:r>
      <w:r w:rsidRPr="006762D8">
        <w:rPr>
          <w:rFonts w:ascii="Arial" w:hAnsi="Arial" w:cs="Arial"/>
        </w:rPr>
        <w:t>may</w:t>
      </w:r>
      <w:r w:rsidRPr="006762D8">
        <w:rPr>
          <w:rFonts w:ascii="Arial" w:hAnsi="Arial" w:cs="Arial"/>
          <w:spacing w:val="11"/>
        </w:rPr>
        <w:t xml:space="preserve"> </w:t>
      </w:r>
      <w:r w:rsidRPr="006762D8">
        <w:rPr>
          <w:rFonts w:ascii="Arial" w:hAnsi="Arial" w:cs="Arial"/>
        </w:rPr>
        <w:t>be</w:t>
      </w:r>
      <w:r w:rsidRPr="006762D8">
        <w:rPr>
          <w:rFonts w:ascii="Arial" w:hAnsi="Arial" w:cs="Arial"/>
          <w:spacing w:val="14"/>
        </w:rPr>
        <w:t xml:space="preserve"> </w:t>
      </w:r>
      <w:r w:rsidRPr="006762D8">
        <w:rPr>
          <w:rFonts w:ascii="Arial" w:hAnsi="Arial" w:cs="Arial"/>
        </w:rPr>
        <w:t>invited</w:t>
      </w:r>
      <w:r w:rsidRPr="006762D8">
        <w:rPr>
          <w:rFonts w:ascii="Arial" w:hAnsi="Arial" w:cs="Arial"/>
          <w:spacing w:val="12"/>
        </w:rPr>
        <w:t xml:space="preserve"> </w:t>
      </w:r>
      <w:r w:rsidRPr="006762D8">
        <w:rPr>
          <w:rFonts w:ascii="Arial" w:hAnsi="Arial" w:cs="Arial"/>
        </w:rPr>
        <w:t>to</w:t>
      </w:r>
      <w:r w:rsidRPr="006762D8">
        <w:rPr>
          <w:rFonts w:ascii="Arial" w:hAnsi="Arial" w:cs="Arial"/>
          <w:spacing w:val="11"/>
        </w:rPr>
        <w:t xml:space="preserve"> </w:t>
      </w:r>
      <w:r w:rsidRPr="006762D8">
        <w:rPr>
          <w:rFonts w:ascii="Arial" w:hAnsi="Arial" w:cs="Arial"/>
        </w:rPr>
        <w:t>attend</w:t>
      </w:r>
      <w:r w:rsidRPr="006762D8">
        <w:rPr>
          <w:rFonts w:ascii="Arial" w:hAnsi="Arial" w:cs="Arial"/>
          <w:spacing w:val="12"/>
        </w:rPr>
        <w:t xml:space="preserve"> </w:t>
      </w:r>
      <w:r w:rsidRPr="006762D8">
        <w:rPr>
          <w:rFonts w:ascii="Arial" w:hAnsi="Arial" w:cs="Arial"/>
        </w:rPr>
        <w:t>for</w:t>
      </w:r>
      <w:r w:rsidRPr="006762D8">
        <w:rPr>
          <w:rFonts w:ascii="Arial" w:hAnsi="Arial" w:cs="Arial"/>
          <w:spacing w:val="13"/>
        </w:rPr>
        <w:t xml:space="preserve"> </w:t>
      </w:r>
      <w:r w:rsidRPr="006762D8">
        <w:rPr>
          <w:rFonts w:ascii="Arial" w:hAnsi="Arial" w:cs="Arial"/>
        </w:rPr>
        <w:t>all</w:t>
      </w:r>
      <w:r w:rsidRPr="006762D8">
        <w:rPr>
          <w:rFonts w:ascii="Arial" w:hAnsi="Arial" w:cs="Arial"/>
          <w:spacing w:val="13"/>
        </w:rPr>
        <w:t xml:space="preserve"> </w:t>
      </w:r>
      <w:r w:rsidRPr="006762D8">
        <w:rPr>
          <w:rFonts w:ascii="Arial" w:hAnsi="Arial" w:cs="Arial"/>
        </w:rPr>
        <w:t>or</w:t>
      </w:r>
      <w:r w:rsidRPr="006762D8">
        <w:rPr>
          <w:rFonts w:ascii="Arial" w:hAnsi="Arial" w:cs="Arial"/>
          <w:spacing w:val="12"/>
        </w:rPr>
        <w:t xml:space="preserve"> </w:t>
      </w:r>
      <w:r w:rsidRPr="006762D8">
        <w:rPr>
          <w:rFonts w:ascii="Arial" w:hAnsi="Arial" w:cs="Arial"/>
        </w:rPr>
        <w:t>part</w:t>
      </w:r>
      <w:r w:rsidRPr="006762D8">
        <w:rPr>
          <w:rFonts w:ascii="Arial" w:hAnsi="Arial" w:cs="Arial"/>
          <w:spacing w:val="11"/>
        </w:rPr>
        <w:t xml:space="preserve"> </w:t>
      </w:r>
      <w:r w:rsidRPr="006762D8">
        <w:rPr>
          <w:rFonts w:ascii="Arial" w:hAnsi="Arial" w:cs="Arial"/>
        </w:rPr>
        <w:t>of</w:t>
      </w:r>
      <w:r w:rsidRPr="006762D8">
        <w:rPr>
          <w:rFonts w:ascii="Arial" w:hAnsi="Arial" w:cs="Arial"/>
          <w:spacing w:val="12"/>
        </w:rPr>
        <w:t xml:space="preserve"> </w:t>
      </w:r>
      <w:r w:rsidRPr="006762D8">
        <w:rPr>
          <w:rFonts w:ascii="Arial" w:hAnsi="Arial" w:cs="Arial"/>
        </w:rPr>
        <w:t>any</w:t>
      </w:r>
      <w:r w:rsidR="000616DA" w:rsidRPr="006762D8">
        <w:rPr>
          <w:rFonts w:ascii="Arial" w:hAnsi="Arial" w:cs="Arial"/>
        </w:rPr>
        <w:t xml:space="preserve"> </w:t>
      </w:r>
      <w:r w:rsidRPr="006762D8">
        <w:rPr>
          <w:rFonts w:ascii="Arial" w:hAnsi="Arial" w:cs="Arial"/>
        </w:rPr>
        <w:t xml:space="preserve">meeting as and when appropriate, provided that no </w:t>
      </w:r>
      <w:r w:rsidR="0094525F">
        <w:rPr>
          <w:rFonts w:ascii="Arial" w:hAnsi="Arial" w:cs="Arial"/>
        </w:rPr>
        <w:t>D</w:t>
      </w:r>
      <w:r w:rsidRPr="006762D8">
        <w:rPr>
          <w:rFonts w:ascii="Arial" w:hAnsi="Arial" w:cs="Arial"/>
        </w:rPr>
        <w:t xml:space="preserve">irector or manager shall be present when </w:t>
      </w:r>
      <w:r w:rsidR="0094525F">
        <w:rPr>
          <w:rFonts w:ascii="Arial" w:hAnsi="Arial" w:cs="Arial"/>
        </w:rPr>
        <w:t>their</w:t>
      </w:r>
      <w:r w:rsidRPr="006762D8">
        <w:rPr>
          <w:rFonts w:ascii="Arial" w:hAnsi="Arial" w:cs="Arial"/>
        </w:rPr>
        <w:t xml:space="preserve"> own remuneration is being discussed.</w:t>
      </w:r>
    </w:p>
    <w:p w14:paraId="3CE600E4" w14:textId="01F6FAF6" w:rsidR="00193B85" w:rsidRPr="006762D8" w:rsidRDefault="00D96639" w:rsidP="00330F6A">
      <w:pPr>
        <w:pStyle w:val="ListParagraph"/>
        <w:numPr>
          <w:ilvl w:val="1"/>
          <w:numId w:val="4"/>
        </w:numPr>
        <w:tabs>
          <w:tab w:val="left" w:pos="867"/>
        </w:tabs>
        <w:spacing w:before="152"/>
        <w:ind w:right="99"/>
        <w:rPr>
          <w:rFonts w:ascii="Arial" w:hAnsi="Arial" w:cs="Arial"/>
        </w:rPr>
      </w:pPr>
      <w:r w:rsidRPr="006762D8">
        <w:rPr>
          <w:rFonts w:ascii="Arial" w:hAnsi="Arial" w:cs="Arial"/>
        </w:rPr>
        <w:t xml:space="preserve">The Board shall </w:t>
      </w:r>
      <w:r w:rsidR="007509A6">
        <w:rPr>
          <w:rFonts w:ascii="Arial" w:hAnsi="Arial" w:cs="Arial"/>
        </w:rPr>
        <w:t xml:space="preserve">normally </w:t>
      </w:r>
      <w:r w:rsidRPr="006762D8">
        <w:rPr>
          <w:rFonts w:ascii="Arial" w:hAnsi="Arial" w:cs="Arial"/>
        </w:rPr>
        <w:t xml:space="preserve">appoint </w:t>
      </w:r>
      <w:r w:rsidR="009321ED" w:rsidRPr="006762D8">
        <w:rPr>
          <w:rFonts w:ascii="Arial" w:hAnsi="Arial" w:cs="Arial"/>
        </w:rPr>
        <w:t xml:space="preserve">a </w:t>
      </w:r>
      <w:r w:rsidRPr="006762D8">
        <w:rPr>
          <w:rFonts w:ascii="Arial" w:hAnsi="Arial" w:cs="Arial"/>
        </w:rPr>
        <w:t xml:space="preserve">Committee Chair who </w:t>
      </w:r>
      <w:r w:rsidR="009321ED" w:rsidRPr="006762D8">
        <w:rPr>
          <w:rFonts w:ascii="Arial" w:hAnsi="Arial" w:cs="Arial"/>
        </w:rPr>
        <w:t>has</w:t>
      </w:r>
      <w:r w:rsidRPr="006762D8">
        <w:rPr>
          <w:rFonts w:ascii="Arial" w:hAnsi="Arial" w:cs="Arial"/>
        </w:rPr>
        <w:t xml:space="preserve"> previously served on a remuneration committee for at least a year. In the absence of the Committee Chair,</w:t>
      </w:r>
      <w:r w:rsidRPr="006762D8">
        <w:rPr>
          <w:rFonts w:ascii="Arial" w:hAnsi="Arial" w:cs="Arial"/>
          <w:spacing w:val="-15"/>
        </w:rPr>
        <w:t xml:space="preserve"> </w:t>
      </w:r>
      <w:r w:rsidRPr="006762D8">
        <w:rPr>
          <w:rFonts w:ascii="Arial" w:hAnsi="Arial" w:cs="Arial"/>
        </w:rPr>
        <w:t>the</w:t>
      </w:r>
      <w:r w:rsidRPr="006762D8">
        <w:rPr>
          <w:rFonts w:ascii="Arial" w:hAnsi="Arial" w:cs="Arial"/>
          <w:spacing w:val="-14"/>
        </w:rPr>
        <w:t xml:space="preserve"> </w:t>
      </w:r>
      <w:r w:rsidRPr="006762D8">
        <w:rPr>
          <w:rFonts w:ascii="Arial" w:hAnsi="Arial" w:cs="Arial"/>
        </w:rPr>
        <w:t>remaining</w:t>
      </w:r>
      <w:r w:rsidRPr="006762D8">
        <w:rPr>
          <w:rFonts w:ascii="Arial" w:hAnsi="Arial" w:cs="Arial"/>
          <w:spacing w:val="-17"/>
        </w:rPr>
        <w:t xml:space="preserve"> </w:t>
      </w:r>
      <w:r w:rsidRPr="006762D8">
        <w:rPr>
          <w:rFonts w:ascii="Arial" w:hAnsi="Arial" w:cs="Arial"/>
        </w:rPr>
        <w:t>members</w:t>
      </w:r>
      <w:r w:rsidRPr="006762D8">
        <w:rPr>
          <w:rFonts w:ascii="Arial" w:hAnsi="Arial" w:cs="Arial"/>
          <w:spacing w:val="-13"/>
        </w:rPr>
        <w:t xml:space="preserve"> </w:t>
      </w:r>
      <w:r w:rsidRPr="006762D8">
        <w:rPr>
          <w:rFonts w:ascii="Arial" w:hAnsi="Arial" w:cs="Arial"/>
        </w:rPr>
        <w:t>present</w:t>
      </w:r>
      <w:r w:rsidRPr="006762D8">
        <w:rPr>
          <w:rFonts w:ascii="Arial" w:hAnsi="Arial" w:cs="Arial"/>
          <w:spacing w:val="-15"/>
        </w:rPr>
        <w:t xml:space="preserve"> </w:t>
      </w:r>
      <w:r w:rsidRPr="006762D8">
        <w:rPr>
          <w:rFonts w:ascii="Arial" w:hAnsi="Arial" w:cs="Arial"/>
        </w:rPr>
        <w:t>shall</w:t>
      </w:r>
      <w:r w:rsidRPr="006762D8">
        <w:rPr>
          <w:rFonts w:ascii="Arial" w:hAnsi="Arial" w:cs="Arial"/>
          <w:spacing w:val="-15"/>
        </w:rPr>
        <w:t xml:space="preserve"> </w:t>
      </w:r>
      <w:r w:rsidRPr="006762D8">
        <w:rPr>
          <w:rFonts w:ascii="Arial" w:hAnsi="Arial" w:cs="Arial"/>
        </w:rPr>
        <w:t>elect</w:t>
      </w:r>
      <w:r w:rsidRPr="006762D8">
        <w:rPr>
          <w:rFonts w:ascii="Arial" w:hAnsi="Arial" w:cs="Arial"/>
          <w:spacing w:val="-15"/>
        </w:rPr>
        <w:t xml:space="preserve"> </w:t>
      </w:r>
      <w:r w:rsidRPr="006762D8">
        <w:rPr>
          <w:rFonts w:ascii="Arial" w:hAnsi="Arial" w:cs="Arial"/>
        </w:rPr>
        <w:t>one</w:t>
      </w:r>
      <w:r w:rsidRPr="006762D8">
        <w:rPr>
          <w:rFonts w:ascii="Arial" w:hAnsi="Arial" w:cs="Arial"/>
          <w:spacing w:val="-13"/>
        </w:rPr>
        <w:t xml:space="preserve"> </w:t>
      </w:r>
      <w:r w:rsidRPr="006762D8">
        <w:rPr>
          <w:rFonts w:ascii="Arial" w:hAnsi="Arial" w:cs="Arial"/>
        </w:rPr>
        <w:t>of</w:t>
      </w:r>
      <w:r w:rsidRPr="006762D8">
        <w:rPr>
          <w:rFonts w:ascii="Arial" w:hAnsi="Arial" w:cs="Arial"/>
          <w:spacing w:val="-15"/>
        </w:rPr>
        <w:t xml:space="preserve"> </w:t>
      </w:r>
      <w:r w:rsidRPr="006762D8">
        <w:rPr>
          <w:rFonts w:ascii="Arial" w:hAnsi="Arial" w:cs="Arial"/>
        </w:rPr>
        <w:t>themselves to chair the meeting.</w:t>
      </w:r>
    </w:p>
    <w:p w14:paraId="5EBCFC59" w14:textId="77777777" w:rsidR="00193B85" w:rsidRPr="006762D8" w:rsidRDefault="00193B85">
      <w:pPr>
        <w:pStyle w:val="BodyText"/>
        <w:spacing w:before="8"/>
        <w:rPr>
          <w:rFonts w:ascii="Arial" w:hAnsi="Arial" w:cs="Arial"/>
          <w:sz w:val="32"/>
        </w:rPr>
      </w:pPr>
    </w:p>
    <w:p w14:paraId="1329D427" w14:textId="77777777" w:rsidR="00193B85" w:rsidRPr="006762D8" w:rsidRDefault="00D96639">
      <w:pPr>
        <w:pStyle w:val="Heading1"/>
        <w:numPr>
          <w:ilvl w:val="0"/>
          <w:numId w:val="3"/>
        </w:numPr>
        <w:tabs>
          <w:tab w:val="left" w:pos="866"/>
          <w:tab w:val="left" w:pos="867"/>
        </w:tabs>
        <w:ind w:hanging="721"/>
        <w:rPr>
          <w:rFonts w:ascii="Arial" w:hAnsi="Arial" w:cs="Arial"/>
        </w:rPr>
      </w:pPr>
      <w:r w:rsidRPr="006762D8">
        <w:rPr>
          <w:rFonts w:ascii="Arial" w:hAnsi="Arial" w:cs="Arial"/>
        </w:rPr>
        <w:t>Secretary</w:t>
      </w:r>
    </w:p>
    <w:p w14:paraId="46BC8C46" w14:textId="77777777" w:rsidR="00193B85" w:rsidRPr="006762D8" w:rsidRDefault="00193B85">
      <w:pPr>
        <w:pStyle w:val="BodyText"/>
        <w:rPr>
          <w:rFonts w:ascii="Arial" w:hAnsi="Arial" w:cs="Arial"/>
          <w:b/>
          <w:sz w:val="23"/>
        </w:rPr>
      </w:pPr>
    </w:p>
    <w:p w14:paraId="4A5E246F" w14:textId="3E3333D8" w:rsidR="00193B85" w:rsidRPr="006762D8" w:rsidRDefault="00D96639" w:rsidP="0056333E">
      <w:pPr>
        <w:pStyle w:val="ListParagraph"/>
        <w:numPr>
          <w:ilvl w:val="1"/>
          <w:numId w:val="3"/>
        </w:numPr>
        <w:tabs>
          <w:tab w:val="left" w:pos="855"/>
        </w:tabs>
        <w:spacing w:before="1"/>
        <w:ind w:right="99"/>
        <w:rPr>
          <w:rFonts w:ascii="Arial" w:hAnsi="Arial" w:cs="Arial"/>
        </w:rPr>
      </w:pPr>
      <w:r w:rsidRPr="006762D8">
        <w:rPr>
          <w:rFonts w:ascii="Arial" w:hAnsi="Arial" w:cs="Arial"/>
        </w:rPr>
        <w:t>The</w:t>
      </w:r>
      <w:r w:rsidR="003402F4">
        <w:rPr>
          <w:rFonts w:ascii="Arial" w:hAnsi="Arial" w:cs="Arial"/>
        </w:rPr>
        <w:t xml:space="preserve"> Group</w:t>
      </w:r>
      <w:r w:rsidRPr="006762D8">
        <w:rPr>
          <w:rFonts w:ascii="Arial" w:hAnsi="Arial" w:cs="Arial"/>
        </w:rPr>
        <w:t xml:space="preserve"> Company Secretary </w:t>
      </w:r>
      <w:r w:rsidR="003402F4">
        <w:rPr>
          <w:rFonts w:ascii="Arial" w:hAnsi="Arial" w:cs="Arial"/>
        </w:rPr>
        <w:t xml:space="preserve">(“Secretary”) </w:t>
      </w:r>
      <w:r w:rsidRPr="006762D8">
        <w:rPr>
          <w:rFonts w:ascii="Arial" w:hAnsi="Arial" w:cs="Arial"/>
        </w:rPr>
        <w:t>or their nominee shall act as Secretary o</w:t>
      </w:r>
      <w:r w:rsidR="00CC5E26">
        <w:rPr>
          <w:rFonts w:ascii="Arial" w:hAnsi="Arial" w:cs="Arial"/>
        </w:rPr>
        <w:t>f</w:t>
      </w:r>
      <w:r w:rsidRPr="006762D8">
        <w:rPr>
          <w:rFonts w:ascii="Arial" w:hAnsi="Arial" w:cs="Arial"/>
        </w:rPr>
        <w:t xml:space="preserve"> the Committee and attend all meetings. The Secretary will ensure that the Committee receives information and papers in a timely manner to enable consideration to be given to all matters by the</w:t>
      </w:r>
      <w:r w:rsidRPr="006762D8">
        <w:rPr>
          <w:rFonts w:ascii="Arial" w:hAnsi="Arial" w:cs="Arial"/>
          <w:spacing w:val="-9"/>
        </w:rPr>
        <w:t xml:space="preserve"> </w:t>
      </w:r>
      <w:r w:rsidRPr="006762D8">
        <w:rPr>
          <w:rFonts w:ascii="Arial" w:hAnsi="Arial" w:cs="Arial"/>
        </w:rPr>
        <w:t>Committee.</w:t>
      </w:r>
    </w:p>
    <w:p w14:paraId="14A9D8B4" w14:textId="77777777" w:rsidR="00193B85" w:rsidRPr="006762D8" w:rsidRDefault="00D96639">
      <w:pPr>
        <w:pStyle w:val="Heading1"/>
        <w:numPr>
          <w:ilvl w:val="0"/>
          <w:numId w:val="3"/>
        </w:numPr>
        <w:tabs>
          <w:tab w:val="left" w:pos="866"/>
          <w:tab w:val="left" w:pos="867"/>
        </w:tabs>
        <w:spacing w:before="153"/>
        <w:ind w:hanging="721"/>
        <w:rPr>
          <w:rFonts w:ascii="Arial" w:hAnsi="Arial" w:cs="Arial"/>
        </w:rPr>
      </w:pPr>
      <w:r w:rsidRPr="006762D8">
        <w:rPr>
          <w:rFonts w:ascii="Arial" w:hAnsi="Arial" w:cs="Arial"/>
        </w:rPr>
        <w:t>Quorum</w:t>
      </w:r>
    </w:p>
    <w:p w14:paraId="52EB1BCD" w14:textId="28AEE008" w:rsidR="00193B85" w:rsidRDefault="00D96639" w:rsidP="0089012F">
      <w:pPr>
        <w:pStyle w:val="ListParagraph"/>
        <w:numPr>
          <w:ilvl w:val="1"/>
          <w:numId w:val="3"/>
        </w:numPr>
        <w:tabs>
          <w:tab w:val="left" w:pos="867"/>
        </w:tabs>
        <w:spacing w:before="150"/>
        <w:ind w:left="866" w:right="99" w:hanging="720"/>
        <w:rPr>
          <w:rFonts w:ascii="Arial" w:hAnsi="Arial" w:cs="Arial"/>
        </w:rPr>
      </w:pPr>
      <w:r w:rsidRPr="006762D8">
        <w:rPr>
          <w:rFonts w:ascii="Arial" w:hAnsi="Arial" w:cs="Arial"/>
        </w:rPr>
        <w:t>The quorum necessary for the transaction of business shall be two. A duly convened meeting</w:t>
      </w:r>
      <w:r w:rsidRPr="006762D8">
        <w:rPr>
          <w:rFonts w:ascii="Arial" w:hAnsi="Arial" w:cs="Arial"/>
          <w:spacing w:val="-4"/>
        </w:rPr>
        <w:t xml:space="preserve"> </w:t>
      </w:r>
      <w:r w:rsidRPr="006762D8">
        <w:rPr>
          <w:rFonts w:ascii="Arial" w:hAnsi="Arial" w:cs="Arial"/>
        </w:rPr>
        <w:t>of</w:t>
      </w:r>
      <w:r w:rsidRPr="006762D8">
        <w:rPr>
          <w:rFonts w:ascii="Arial" w:hAnsi="Arial" w:cs="Arial"/>
          <w:spacing w:val="-4"/>
        </w:rPr>
        <w:t xml:space="preserve"> </w:t>
      </w:r>
      <w:r w:rsidRPr="006762D8">
        <w:rPr>
          <w:rFonts w:ascii="Arial" w:hAnsi="Arial" w:cs="Arial"/>
        </w:rPr>
        <w:t>the</w:t>
      </w:r>
      <w:r w:rsidRPr="006762D8">
        <w:rPr>
          <w:rFonts w:ascii="Arial" w:hAnsi="Arial" w:cs="Arial"/>
          <w:spacing w:val="-3"/>
        </w:rPr>
        <w:t xml:space="preserve"> </w:t>
      </w:r>
      <w:r w:rsidRPr="006762D8">
        <w:rPr>
          <w:rFonts w:ascii="Arial" w:hAnsi="Arial" w:cs="Arial"/>
        </w:rPr>
        <w:t>Committee</w:t>
      </w:r>
      <w:r w:rsidRPr="006762D8">
        <w:rPr>
          <w:rFonts w:ascii="Arial" w:hAnsi="Arial" w:cs="Arial"/>
          <w:spacing w:val="-2"/>
        </w:rPr>
        <w:t xml:space="preserve"> </w:t>
      </w:r>
      <w:r w:rsidRPr="006762D8">
        <w:rPr>
          <w:rFonts w:ascii="Arial" w:hAnsi="Arial" w:cs="Arial"/>
        </w:rPr>
        <w:t>at</w:t>
      </w:r>
      <w:r w:rsidRPr="006762D8">
        <w:rPr>
          <w:rFonts w:ascii="Arial" w:hAnsi="Arial" w:cs="Arial"/>
          <w:spacing w:val="-4"/>
        </w:rPr>
        <w:t xml:space="preserve"> </w:t>
      </w:r>
      <w:r w:rsidRPr="006762D8">
        <w:rPr>
          <w:rFonts w:ascii="Arial" w:hAnsi="Arial" w:cs="Arial"/>
        </w:rPr>
        <w:t>which</w:t>
      </w:r>
      <w:r w:rsidRPr="006762D8">
        <w:rPr>
          <w:rFonts w:ascii="Arial" w:hAnsi="Arial" w:cs="Arial"/>
          <w:spacing w:val="-4"/>
        </w:rPr>
        <w:t xml:space="preserve"> </w:t>
      </w:r>
      <w:r w:rsidRPr="006762D8">
        <w:rPr>
          <w:rFonts w:ascii="Arial" w:hAnsi="Arial" w:cs="Arial"/>
        </w:rPr>
        <w:t>a</w:t>
      </w:r>
      <w:r w:rsidRPr="006762D8">
        <w:rPr>
          <w:rFonts w:ascii="Arial" w:hAnsi="Arial" w:cs="Arial"/>
          <w:spacing w:val="-2"/>
        </w:rPr>
        <w:t xml:space="preserve"> </w:t>
      </w:r>
      <w:r w:rsidRPr="006762D8">
        <w:rPr>
          <w:rFonts w:ascii="Arial" w:hAnsi="Arial" w:cs="Arial"/>
        </w:rPr>
        <w:t>quorum</w:t>
      </w:r>
      <w:r w:rsidRPr="006762D8">
        <w:rPr>
          <w:rFonts w:ascii="Arial" w:hAnsi="Arial" w:cs="Arial"/>
          <w:spacing w:val="-4"/>
        </w:rPr>
        <w:t xml:space="preserve"> </w:t>
      </w:r>
      <w:r w:rsidRPr="006762D8">
        <w:rPr>
          <w:rFonts w:ascii="Arial" w:hAnsi="Arial" w:cs="Arial"/>
        </w:rPr>
        <w:t>is</w:t>
      </w:r>
      <w:r w:rsidRPr="006762D8">
        <w:rPr>
          <w:rFonts w:ascii="Arial" w:hAnsi="Arial" w:cs="Arial"/>
          <w:spacing w:val="-3"/>
        </w:rPr>
        <w:t xml:space="preserve"> </w:t>
      </w:r>
      <w:r w:rsidRPr="006762D8">
        <w:rPr>
          <w:rFonts w:ascii="Arial" w:hAnsi="Arial" w:cs="Arial"/>
        </w:rPr>
        <w:t>present</w:t>
      </w:r>
      <w:r w:rsidR="004916B6">
        <w:rPr>
          <w:rFonts w:ascii="Arial" w:hAnsi="Arial" w:cs="Arial"/>
        </w:rPr>
        <w:t xml:space="preserve"> (in person or virtually)</w:t>
      </w:r>
      <w:r w:rsidRPr="006762D8">
        <w:rPr>
          <w:rFonts w:ascii="Arial" w:hAnsi="Arial" w:cs="Arial"/>
          <w:spacing w:val="-3"/>
        </w:rPr>
        <w:t xml:space="preserve"> </w:t>
      </w:r>
      <w:r w:rsidRPr="006762D8">
        <w:rPr>
          <w:rFonts w:ascii="Arial" w:hAnsi="Arial" w:cs="Arial"/>
        </w:rPr>
        <w:t>shall</w:t>
      </w:r>
      <w:r w:rsidRPr="006762D8">
        <w:rPr>
          <w:rFonts w:ascii="Arial" w:hAnsi="Arial" w:cs="Arial"/>
          <w:spacing w:val="-2"/>
        </w:rPr>
        <w:t xml:space="preserve"> </w:t>
      </w:r>
      <w:r w:rsidRPr="006762D8">
        <w:rPr>
          <w:rFonts w:ascii="Arial" w:hAnsi="Arial" w:cs="Arial"/>
        </w:rPr>
        <w:t>be</w:t>
      </w:r>
      <w:r w:rsidRPr="006762D8">
        <w:rPr>
          <w:rFonts w:ascii="Arial" w:hAnsi="Arial" w:cs="Arial"/>
          <w:spacing w:val="-3"/>
        </w:rPr>
        <w:t xml:space="preserve"> </w:t>
      </w:r>
      <w:r w:rsidRPr="006762D8">
        <w:rPr>
          <w:rFonts w:ascii="Arial" w:hAnsi="Arial" w:cs="Arial"/>
        </w:rPr>
        <w:t>competent</w:t>
      </w:r>
      <w:r w:rsidRPr="006762D8">
        <w:rPr>
          <w:rFonts w:ascii="Arial" w:hAnsi="Arial" w:cs="Arial"/>
          <w:spacing w:val="-3"/>
        </w:rPr>
        <w:t xml:space="preserve"> </w:t>
      </w:r>
      <w:r w:rsidRPr="006762D8">
        <w:rPr>
          <w:rFonts w:ascii="Arial" w:hAnsi="Arial" w:cs="Arial"/>
        </w:rPr>
        <w:t>to</w:t>
      </w:r>
      <w:r w:rsidRPr="006762D8">
        <w:rPr>
          <w:rFonts w:ascii="Arial" w:hAnsi="Arial" w:cs="Arial"/>
          <w:spacing w:val="-5"/>
        </w:rPr>
        <w:t xml:space="preserve"> </w:t>
      </w:r>
      <w:r w:rsidRPr="006762D8">
        <w:rPr>
          <w:rFonts w:ascii="Arial" w:hAnsi="Arial" w:cs="Arial"/>
        </w:rPr>
        <w:t>exercise</w:t>
      </w:r>
      <w:r w:rsidRPr="006762D8">
        <w:rPr>
          <w:rFonts w:ascii="Arial" w:hAnsi="Arial" w:cs="Arial"/>
          <w:spacing w:val="-3"/>
        </w:rPr>
        <w:t xml:space="preserve"> </w:t>
      </w:r>
      <w:r w:rsidRPr="006762D8">
        <w:rPr>
          <w:rFonts w:ascii="Arial" w:hAnsi="Arial" w:cs="Arial"/>
        </w:rPr>
        <w:t>all or</w:t>
      </w:r>
      <w:r w:rsidRPr="006762D8">
        <w:rPr>
          <w:rFonts w:ascii="Arial" w:hAnsi="Arial" w:cs="Arial"/>
          <w:spacing w:val="-9"/>
        </w:rPr>
        <w:t xml:space="preserve"> </w:t>
      </w:r>
      <w:r w:rsidRPr="006762D8">
        <w:rPr>
          <w:rFonts w:ascii="Arial" w:hAnsi="Arial" w:cs="Arial"/>
        </w:rPr>
        <w:t>any</w:t>
      </w:r>
      <w:r w:rsidRPr="006762D8">
        <w:rPr>
          <w:rFonts w:ascii="Arial" w:hAnsi="Arial" w:cs="Arial"/>
          <w:spacing w:val="-10"/>
        </w:rPr>
        <w:t xml:space="preserve"> </w:t>
      </w:r>
      <w:r w:rsidRPr="006762D8">
        <w:rPr>
          <w:rFonts w:ascii="Arial" w:hAnsi="Arial" w:cs="Arial"/>
        </w:rPr>
        <w:t>of</w:t>
      </w:r>
      <w:r w:rsidRPr="006762D8">
        <w:rPr>
          <w:rFonts w:ascii="Arial" w:hAnsi="Arial" w:cs="Arial"/>
          <w:spacing w:val="-10"/>
        </w:rPr>
        <w:t xml:space="preserve"> </w:t>
      </w:r>
      <w:r w:rsidRPr="006762D8">
        <w:rPr>
          <w:rFonts w:ascii="Arial" w:hAnsi="Arial" w:cs="Arial"/>
        </w:rPr>
        <w:t>the</w:t>
      </w:r>
      <w:r w:rsidRPr="006762D8">
        <w:rPr>
          <w:rFonts w:ascii="Arial" w:hAnsi="Arial" w:cs="Arial"/>
          <w:spacing w:val="-9"/>
        </w:rPr>
        <w:t xml:space="preserve"> </w:t>
      </w:r>
      <w:r w:rsidRPr="006762D8">
        <w:rPr>
          <w:rFonts w:ascii="Arial" w:hAnsi="Arial" w:cs="Arial"/>
        </w:rPr>
        <w:t>authorities,</w:t>
      </w:r>
      <w:r w:rsidRPr="006762D8">
        <w:rPr>
          <w:rFonts w:ascii="Arial" w:hAnsi="Arial" w:cs="Arial"/>
          <w:spacing w:val="-10"/>
        </w:rPr>
        <w:t xml:space="preserve"> </w:t>
      </w:r>
      <w:r w:rsidRPr="006762D8">
        <w:rPr>
          <w:rFonts w:ascii="Arial" w:hAnsi="Arial" w:cs="Arial"/>
        </w:rPr>
        <w:t>powers</w:t>
      </w:r>
      <w:r w:rsidRPr="006762D8">
        <w:rPr>
          <w:rFonts w:ascii="Arial" w:hAnsi="Arial" w:cs="Arial"/>
          <w:spacing w:val="-9"/>
        </w:rPr>
        <w:t xml:space="preserve"> </w:t>
      </w:r>
      <w:r w:rsidRPr="006762D8">
        <w:rPr>
          <w:rFonts w:ascii="Arial" w:hAnsi="Arial" w:cs="Arial"/>
        </w:rPr>
        <w:t>and</w:t>
      </w:r>
      <w:r w:rsidRPr="006762D8">
        <w:rPr>
          <w:rFonts w:ascii="Arial" w:hAnsi="Arial" w:cs="Arial"/>
          <w:spacing w:val="-10"/>
        </w:rPr>
        <w:t xml:space="preserve"> </w:t>
      </w:r>
      <w:r w:rsidRPr="006762D8">
        <w:rPr>
          <w:rFonts w:ascii="Arial" w:hAnsi="Arial" w:cs="Arial"/>
        </w:rPr>
        <w:t>discretions</w:t>
      </w:r>
      <w:r w:rsidRPr="006762D8">
        <w:rPr>
          <w:rFonts w:ascii="Arial" w:hAnsi="Arial" w:cs="Arial"/>
          <w:spacing w:val="-9"/>
        </w:rPr>
        <w:t xml:space="preserve"> </w:t>
      </w:r>
      <w:r w:rsidRPr="006762D8">
        <w:rPr>
          <w:rFonts w:ascii="Arial" w:hAnsi="Arial" w:cs="Arial"/>
        </w:rPr>
        <w:t>vested</w:t>
      </w:r>
      <w:r w:rsidRPr="006762D8">
        <w:rPr>
          <w:rFonts w:ascii="Arial" w:hAnsi="Arial" w:cs="Arial"/>
          <w:spacing w:val="-10"/>
        </w:rPr>
        <w:t xml:space="preserve"> </w:t>
      </w:r>
      <w:r w:rsidRPr="006762D8">
        <w:rPr>
          <w:rFonts w:ascii="Arial" w:hAnsi="Arial" w:cs="Arial"/>
        </w:rPr>
        <w:t>in</w:t>
      </w:r>
      <w:r w:rsidRPr="006762D8">
        <w:rPr>
          <w:rFonts w:ascii="Arial" w:hAnsi="Arial" w:cs="Arial"/>
          <w:spacing w:val="-9"/>
        </w:rPr>
        <w:t xml:space="preserve"> </w:t>
      </w:r>
      <w:r w:rsidRPr="006762D8">
        <w:rPr>
          <w:rFonts w:ascii="Arial" w:hAnsi="Arial" w:cs="Arial"/>
        </w:rPr>
        <w:t>or</w:t>
      </w:r>
      <w:r w:rsidRPr="006762D8">
        <w:rPr>
          <w:rFonts w:ascii="Arial" w:hAnsi="Arial" w:cs="Arial"/>
          <w:spacing w:val="-9"/>
        </w:rPr>
        <w:t xml:space="preserve"> </w:t>
      </w:r>
      <w:r w:rsidRPr="006762D8">
        <w:rPr>
          <w:rFonts w:ascii="Arial" w:hAnsi="Arial" w:cs="Arial"/>
        </w:rPr>
        <w:t>exercisable</w:t>
      </w:r>
      <w:r w:rsidRPr="006762D8">
        <w:rPr>
          <w:rFonts w:ascii="Arial" w:hAnsi="Arial" w:cs="Arial"/>
          <w:spacing w:val="-9"/>
        </w:rPr>
        <w:t xml:space="preserve"> </w:t>
      </w:r>
      <w:r w:rsidRPr="006762D8">
        <w:rPr>
          <w:rFonts w:ascii="Arial" w:hAnsi="Arial" w:cs="Arial"/>
        </w:rPr>
        <w:t>by</w:t>
      </w:r>
      <w:r w:rsidRPr="006762D8">
        <w:rPr>
          <w:rFonts w:ascii="Arial" w:hAnsi="Arial" w:cs="Arial"/>
          <w:spacing w:val="-10"/>
        </w:rPr>
        <w:t xml:space="preserve"> </w:t>
      </w:r>
      <w:r w:rsidRPr="006762D8">
        <w:rPr>
          <w:rFonts w:ascii="Arial" w:hAnsi="Arial" w:cs="Arial"/>
        </w:rPr>
        <w:t>the</w:t>
      </w:r>
      <w:r w:rsidRPr="006762D8">
        <w:rPr>
          <w:rFonts w:ascii="Arial" w:hAnsi="Arial" w:cs="Arial"/>
          <w:spacing w:val="-9"/>
        </w:rPr>
        <w:t xml:space="preserve"> </w:t>
      </w:r>
      <w:r w:rsidRPr="006762D8">
        <w:rPr>
          <w:rFonts w:ascii="Arial" w:hAnsi="Arial" w:cs="Arial"/>
        </w:rPr>
        <w:t>Committee.</w:t>
      </w:r>
    </w:p>
    <w:p w14:paraId="6C400307" w14:textId="6B77EC63" w:rsidR="008276F8" w:rsidRDefault="008276F8">
      <w:pPr>
        <w:rPr>
          <w:rFonts w:ascii="Arial" w:hAnsi="Arial" w:cs="Arial"/>
        </w:rPr>
      </w:pPr>
      <w:r>
        <w:rPr>
          <w:rFonts w:ascii="Arial" w:hAnsi="Arial" w:cs="Arial"/>
        </w:rPr>
        <w:br w:type="page"/>
      </w:r>
    </w:p>
    <w:p w14:paraId="3214A7D5" w14:textId="5315FB17" w:rsidR="00C06F60" w:rsidRDefault="00C06F60" w:rsidP="0089012F">
      <w:pPr>
        <w:pStyle w:val="Heading1"/>
        <w:numPr>
          <w:ilvl w:val="0"/>
          <w:numId w:val="3"/>
        </w:numPr>
        <w:tabs>
          <w:tab w:val="left" w:pos="854"/>
          <w:tab w:val="left" w:pos="855"/>
        </w:tabs>
        <w:ind w:left="854" w:hanging="709"/>
        <w:rPr>
          <w:rFonts w:ascii="Arial" w:hAnsi="Arial" w:cs="Arial"/>
        </w:rPr>
      </w:pPr>
      <w:r>
        <w:rPr>
          <w:rFonts w:ascii="Arial" w:hAnsi="Arial" w:cs="Arial"/>
        </w:rPr>
        <w:lastRenderedPageBreak/>
        <w:t>Conflicts of Interest</w:t>
      </w:r>
    </w:p>
    <w:p w14:paraId="5D0C726E" w14:textId="77777777" w:rsidR="0089012F" w:rsidRDefault="0089012F" w:rsidP="003601E9">
      <w:pPr>
        <w:pStyle w:val="Heading1"/>
        <w:tabs>
          <w:tab w:val="left" w:pos="854"/>
          <w:tab w:val="left" w:pos="855"/>
        </w:tabs>
        <w:ind w:left="854"/>
        <w:rPr>
          <w:rFonts w:ascii="Arial" w:hAnsi="Arial" w:cs="Arial"/>
        </w:rPr>
      </w:pPr>
    </w:p>
    <w:p w14:paraId="348B3F36" w14:textId="4DB2571F" w:rsidR="00C06F60" w:rsidRDefault="0089012F" w:rsidP="0089012F">
      <w:pPr>
        <w:pStyle w:val="Heading1"/>
        <w:numPr>
          <w:ilvl w:val="1"/>
          <w:numId w:val="3"/>
        </w:numPr>
        <w:tabs>
          <w:tab w:val="left" w:pos="854"/>
          <w:tab w:val="left" w:pos="855"/>
        </w:tabs>
        <w:rPr>
          <w:rFonts w:ascii="Arial" w:hAnsi="Arial" w:cs="Arial"/>
          <w:b w:val="0"/>
          <w:bCs w:val="0"/>
        </w:rPr>
      </w:pPr>
      <w:r w:rsidRPr="003601E9">
        <w:rPr>
          <w:rFonts w:ascii="Arial" w:hAnsi="Arial" w:cs="Arial"/>
          <w:b w:val="0"/>
          <w:bCs w:val="0"/>
        </w:rPr>
        <w:t>Each member of the Committee should consider whether they have any conflicts of interest prior to participating in meetings of the Committee and making decisions regarding the business of the Company.</w:t>
      </w:r>
    </w:p>
    <w:p w14:paraId="77D674AF" w14:textId="77777777" w:rsidR="0089012F" w:rsidRPr="003601E9" w:rsidRDefault="0089012F" w:rsidP="003601E9">
      <w:pPr>
        <w:pStyle w:val="Heading1"/>
        <w:tabs>
          <w:tab w:val="left" w:pos="854"/>
          <w:tab w:val="left" w:pos="855"/>
        </w:tabs>
        <w:ind w:left="854"/>
        <w:rPr>
          <w:rFonts w:ascii="Arial" w:hAnsi="Arial" w:cs="Arial"/>
          <w:b w:val="0"/>
          <w:bCs w:val="0"/>
        </w:rPr>
      </w:pPr>
    </w:p>
    <w:p w14:paraId="657A7B66" w14:textId="5C187A32" w:rsidR="00193B85" w:rsidRPr="006762D8" w:rsidRDefault="00D96639" w:rsidP="0089012F">
      <w:pPr>
        <w:pStyle w:val="Heading1"/>
        <w:numPr>
          <w:ilvl w:val="0"/>
          <w:numId w:val="3"/>
        </w:numPr>
        <w:tabs>
          <w:tab w:val="left" w:pos="854"/>
          <w:tab w:val="left" w:pos="855"/>
        </w:tabs>
        <w:ind w:left="854" w:hanging="709"/>
        <w:rPr>
          <w:rFonts w:ascii="Arial" w:hAnsi="Arial" w:cs="Arial"/>
        </w:rPr>
      </w:pPr>
      <w:r w:rsidRPr="006762D8">
        <w:rPr>
          <w:rFonts w:ascii="Arial" w:hAnsi="Arial" w:cs="Arial"/>
        </w:rPr>
        <w:t>Frequency</w:t>
      </w:r>
      <w:r w:rsidRPr="006762D8">
        <w:rPr>
          <w:rFonts w:ascii="Arial" w:hAnsi="Arial" w:cs="Arial"/>
          <w:spacing w:val="-3"/>
        </w:rPr>
        <w:t xml:space="preserve"> </w:t>
      </w:r>
      <w:r w:rsidR="009321ED" w:rsidRPr="006762D8">
        <w:rPr>
          <w:rFonts w:ascii="Arial" w:hAnsi="Arial" w:cs="Arial"/>
          <w:spacing w:val="-3"/>
        </w:rPr>
        <w:t xml:space="preserve">of </w:t>
      </w:r>
      <w:r w:rsidRPr="006762D8">
        <w:rPr>
          <w:rFonts w:ascii="Arial" w:hAnsi="Arial" w:cs="Arial"/>
        </w:rPr>
        <w:t>Meetings</w:t>
      </w:r>
    </w:p>
    <w:p w14:paraId="26DCEE4B" w14:textId="77777777" w:rsidR="00193B85" w:rsidRPr="006762D8" w:rsidRDefault="00193B85" w:rsidP="0089012F">
      <w:pPr>
        <w:pStyle w:val="BodyText"/>
        <w:spacing w:before="10"/>
        <w:rPr>
          <w:rFonts w:ascii="Arial" w:hAnsi="Arial" w:cs="Arial"/>
          <w:b/>
        </w:rPr>
      </w:pPr>
    </w:p>
    <w:p w14:paraId="04AE7EDA" w14:textId="00842196" w:rsidR="00193B85" w:rsidRPr="006762D8" w:rsidRDefault="00806161" w:rsidP="0089012F">
      <w:pPr>
        <w:pStyle w:val="ListParagraph"/>
        <w:numPr>
          <w:ilvl w:val="1"/>
          <w:numId w:val="3"/>
        </w:numPr>
        <w:tabs>
          <w:tab w:val="left" w:pos="712"/>
          <w:tab w:val="left" w:pos="713"/>
        </w:tabs>
        <w:ind w:left="833" w:right="99" w:hanging="720"/>
        <w:rPr>
          <w:rFonts w:ascii="Arial" w:hAnsi="Arial" w:cs="Arial"/>
        </w:rPr>
      </w:pPr>
      <w:r>
        <w:rPr>
          <w:rFonts w:ascii="Arial" w:hAnsi="Arial" w:cs="Arial"/>
        </w:rPr>
        <w:t xml:space="preserve">  </w:t>
      </w:r>
      <w:r w:rsidR="00D96639" w:rsidRPr="006762D8">
        <w:rPr>
          <w:rFonts w:ascii="Arial" w:hAnsi="Arial" w:cs="Arial"/>
        </w:rPr>
        <w:t>The Committee shall meet at least four times a year and otherwise at such time as the Committee Chair shall</w:t>
      </w:r>
      <w:r w:rsidR="00D96639" w:rsidRPr="00806161">
        <w:rPr>
          <w:rFonts w:ascii="Arial" w:hAnsi="Arial" w:cs="Arial"/>
        </w:rPr>
        <w:t xml:space="preserve"> </w:t>
      </w:r>
      <w:r w:rsidR="00D96639" w:rsidRPr="006762D8">
        <w:rPr>
          <w:rFonts w:ascii="Arial" w:hAnsi="Arial" w:cs="Arial"/>
        </w:rPr>
        <w:t>require.</w:t>
      </w:r>
    </w:p>
    <w:p w14:paraId="35452F3D" w14:textId="77777777" w:rsidR="00193B85" w:rsidRPr="006762D8" w:rsidRDefault="00193B85" w:rsidP="0089012F">
      <w:pPr>
        <w:pStyle w:val="BodyText"/>
        <w:spacing w:before="7"/>
        <w:rPr>
          <w:rFonts w:ascii="Arial" w:hAnsi="Arial" w:cs="Arial"/>
          <w:sz w:val="32"/>
        </w:rPr>
      </w:pPr>
    </w:p>
    <w:p w14:paraId="3A31F9EC" w14:textId="77777777" w:rsidR="00193B85" w:rsidRPr="006762D8" w:rsidRDefault="00D96639" w:rsidP="0089012F">
      <w:pPr>
        <w:pStyle w:val="Heading1"/>
        <w:numPr>
          <w:ilvl w:val="0"/>
          <w:numId w:val="3"/>
        </w:numPr>
        <w:tabs>
          <w:tab w:val="left" w:pos="866"/>
          <w:tab w:val="left" w:pos="867"/>
        </w:tabs>
        <w:ind w:hanging="721"/>
        <w:rPr>
          <w:rFonts w:ascii="Arial" w:hAnsi="Arial" w:cs="Arial"/>
        </w:rPr>
      </w:pPr>
      <w:r w:rsidRPr="006762D8">
        <w:rPr>
          <w:rFonts w:ascii="Arial" w:hAnsi="Arial" w:cs="Arial"/>
        </w:rPr>
        <w:t>Notice of</w:t>
      </w:r>
      <w:r w:rsidRPr="006762D8">
        <w:rPr>
          <w:rFonts w:ascii="Arial" w:hAnsi="Arial" w:cs="Arial"/>
          <w:spacing w:val="-2"/>
        </w:rPr>
        <w:t xml:space="preserve"> </w:t>
      </w:r>
      <w:r w:rsidRPr="006762D8">
        <w:rPr>
          <w:rFonts w:ascii="Arial" w:hAnsi="Arial" w:cs="Arial"/>
        </w:rPr>
        <w:t>Meetings</w:t>
      </w:r>
    </w:p>
    <w:p w14:paraId="2A4DA681" w14:textId="77777777" w:rsidR="00193B85" w:rsidRPr="006762D8" w:rsidRDefault="00193B85" w:rsidP="0089012F">
      <w:pPr>
        <w:pStyle w:val="BodyText"/>
        <w:spacing w:before="1"/>
        <w:rPr>
          <w:rFonts w:ascii="Arial" w:hAnsi="Arial" w:cs="Arial"/>
          <w:b/>
          <w:sz w:val="23"/>
        </w:rPr>
      </w:pPr>
    </w:p>
    <w:p w14:paraId="7FF97F8C" w14:textId="6A83EF52" w:rsidR="00193B85" w:rsidRPr="006762D8" w:rsidRDefault="00D96639" w:rsidP="0089012F">
      <w:pPr>
        <w:pStyle w:val="ListParagraph"/>
        <w:numPr>
          <w:ilvl w:val="1"/>
          <w:numId w:val="3"/>
        </w:numPr>
        <w:tabs>
          <w:tab w:val="left" w:pos="867"/>
        </w:tabs>
        <w:ind w:left="866" w:right="99" w:hanging="720"/>
        <w:rPr>
          <w:rFonts w:ascii="Arial" w:hAnsi="Arial" w:cs="Arial"/>
        </w:rPr>
      </w:pPr>
      <w:r w:rsidRPr="006762D8">
        <w:rPr>
          <w:rFonts w:ascii="Arial" w:hAnsi="Arial" w:cs="Arial"/>
        </w:rPr>
        <w:t>Meetings of the Committee shall be called by the Secretary of the Committee at the request of the Committee Chair or by any of its</w:t>
      </w:r>
      <w:r w:rsidRPr="006762D8">
        <w:rPr>
          <w:rFonts w:ascii="Arial" w:hAnsi="Arial" w:cs="Arial"/>
          <w:spacing w:val="-13"/>
        </w:rPr>
        <w:t xml:space="preserve"> </w:t>
      </w:r>
      <w:r w:rsidRPr="006762D8">
        <w:rPr>
          <w:rFonts w:ascii="Arial" w:hAnsi="Arial" w:cs="Arial"/>
        </w:rPr>
        <w:t>members.</w:t>
      </w:r>
    </w:p>
    <w:p w14:paraId="219F1226" w14:textId="53471152" w:rsidR="00193B85" w:rsidRPr="006762D8" w:rsidRDefault="0089012F" w:rsidP="0089012F">
      <w:pPr>
        <w:pStyle w:val="ListParagraph"/>
        <w:numPr>
          <w:ilvl w:val="1"/>
          <w:numId w:val="3"/>
        </w:numPr>
        <w:tabs>
          <w:tab w:val="left" w:pos="867"/>
        </w:tabs>
        <w:spacing w:before="149"/>
        <w:ind w:left="866" w:right="99" w:hanging="720"/>
        <w:rPr>
          <w:rFonts w:ascii="Arial" w:hAnsi="Arial" w:cs="Arial"/>
        </w:rPr>
      </w:pPr>
      <w:r>
        <w:rPr>
          <w:rFonts w:ascii="Arial" w:hAnsi="Arial" w:cs="Arial"/>
        </w:rPr>
        <w:t>N</w:t>
      </w:r>
      <w:r w:rsidR="00D96639" w:rsidRPr="006762D8">
        <w:rPr>
          <w:rFonts w:ascii="Arial" w:hAnsi="Arial" w:cs="Arial"/>
        </w:rPr>
        <w:t xml:space="preserve">otice of each meeting confirming the venue, time and date together with an agenda, shall be </w:t>
      </w:r>
      <w:r w:rsidR="00737675">
        <w:rPr>
          <w:rFonts w:ascii="Arial" w:hAnsi="Arial" w:cs="Arial"/>
        </w:rPr>
        <w:t xml:space="preserve">sent </w:t>
      </w:r>
      <w:r w:rsidR="00D96639" w:rsidRPr="006762D8">
        <w:rPr>
          <w:rFonts w:ascii="Arial" w:hAnsi="Arial" w:cs="Arial"/>
        </w:rPr>
        <w:t>to Committee</w:t>
      </w:r>
      <w:r w:rsidR="00737675">
        <w:rPr>
          <w:rFonts w:ascii="Arial" w:hAnsi="Arial" w:cs="Arial"/>
        </w:rPr>
        <w:t xml:space="preserve"> members and</w:t>
      </w:r>
      <w:r w:rsidR="00D96639" w:rsidRPr="006762D8">
        <w:rPr>
          <w:rFonts w:ascii="Arial" w:hAnsi="Arial" w:cs="Arial"/>
        </w:rPr>
        <w:t xml:space="preserve"> any other attend</w:t>
      </w:r>
      <w:r w:rsidR="00737675">
        <w:rPr>
          <w:rFonts w:ascii="Arial" w:hAnsi="Arial" w:cs="Arial"/>
        </w:rPr>
        <w:t>ees</w:t>
      </w:r>
      <w:r w:rsidR="00D96639" w:rsidRPr="006762D8">
        <w:rPr>
          <w:rFonts w:ascii="Arial" w:hAnsi="Arial" w:cs="Arial"/>
        </w:rPr>
        <w:t>, no</w:t>
      </w:r>
      <w:r w:rsidR="00D96639" w:rsidRPr="006762D8">
        <w:rPr>
          <w:rFonts w:ascii="Arial" w:hAnsi="Arial" w:cs="Arial"/>
          <w:spacing w:val="-8"/>
        </w:rPr>
        <w:t xml:space="preserve"> </w:t>
      </w:r>
      <w:r w:rsidR="00D96639" w:rsidRPr="006762D8">
        <w:rPr>
          <w:rFonts w:ascii="Arial" w:hAnsi="Arial" w:cs="Arial"/>
        </w:rPr>
        <w:t>later</w:t>
      </w:r>
      <w:r w:rsidR="00D96639" w:rsidRPr="006762D8">
        <w:rPr>
          <w:rFonts w:ascii="Arial" w:hAnsi="Arial" w:cs="Arial"/>
          <w:spacing w:val="-5"/>
        </w:rPr>
        <w:t xml:space="preserve"> </w:t>
      </w:r>
      <w:r w:rsidR="00D96639" w:rsidRPr="006762D8">
        <w:rPr>
          <w:rFonts w:ascii="Arial" w:hAnsi="Arial" w:cs="Arial"/>
        </w:rPr>
        <w:t>than</w:t>
      </w:r>
      <w:r w:rsidR="00D96639" w:rsidRPr="006762D8">
        <w:rPr>
          <w:rFonts w:ascii="Arial" w:hAnsi="Arial" w:cs="Arial"/>
          <w:spacing w:val="-5"/>
        </w:rPr>
        <w:t xml:space="preserve"> </w:t>
      </w:r>
      <w:r w:rsidR="00D96639" w:rsidRPr="006762D8">
        <w:rPr>
          <w:rFonts w:ascii="Arial" w:hAnsi="Arial" w:cs="Arial"/>
        </w:rPr>
        <w:t>five</w:t>
      </w:r>
      <w:r w:rsidR="00D96639" w:rsidRPr="006762D8">
        <w:rPr>
          <w:rFonts w:ascii="Arial" w:hAnsi="Arial" w:cs="Arial"/>
          <w:spacing w:val="-6"/>
        </w:rPr>
        <w:t xml:space="preserve"> </w:t>
      </w:r>
      <w:r w:rsidR="00D96639" w:rsidRPr="006762D8">
        <w:rPr>
          <w:rFonts w:ascii="Arial" w:hAnsi="Arial" w:cs="Arial"/>
        </w:rPr>
        <w:t>working</w:t>
      </w:r>
      <w:r w:rsidR="00D96639" w:rsidRPr="006762D8">
        <w:rPr>
          <w:rFonts w:ascii="Arial" w:hAnsi="Arial" w:cs="Arial"/>
          <w:spacing w:val="-6"/>
        </w:rPr>
        <w:t xml:space="preserve"> </w:t>
      </w:r>
      <w:r w:rsidR="00D96639" w:rsidRPr="006762D8">
        <w:rPr>
          <w:rFonts w:ascii="Arial" w:hAnsi="Arial" w:cs="Arial"/>
        </w:rPr>
        <w:t>days</w:t>
      </w:r>
      <w:r w:rsidR="00D96639" w:rsidRPr="006762D8">
        <w:rPr>
          <w:rFonts w:ascii="Arial" w:hAnsi="Arial" w:cs="Arial"/>
          <w:spacing w:val="-6"/>
        </w:rPr>
        <w:t xml:space="preserve"> </w:t>
      </w:r>
      <w:r w:rsidR="00D96639" w:rsidRPr="006762D8">
        <w:rPr>
          <w:rFonts w:ascii="Arial" w:hAnsi="Arial" w:cs="Arial"/>
        </w:rPr>
        <w:t>before</w:t>
      </w:r>
      <w:r w:rsidR="00D96639" w:rsidRPr="006762D8">
        <w:rPr>
          <w:rFonts w:ascii="Arial" w:hAnsi="Arial" w:cs="Arial"/>
          <w:spacing w:val="-6"/>
        </w:rPr>
        <w:t xml:space="preserve"> </w:t>
      </w:r>
      <w:r w:rsidR="00D96639" w:rsidRPr="006762D8">
        <w:rPr>
          <w:rFonts w:ascii="Arial" w:hAnsi="Arial" w:cs="Arial"/>
        </w:rPr>
        <w:t>the</w:t>
      </w:r>
      <w:r w:rsidR="00D96639" w:rsidRPr="006762D8">
        <w:rPr>
          <w:rFonts w:ascii="Arial" w:hAnsi="Arial" w:cs="Arial"/>
          <w:spacing w:val="-6"/>
        </w:rPr>
        <w:t xml:space="preserve"> </w:t>
      </w:r>
      <w:r w:rsidR="00D96639" w:rsidRPr="006762D8">
        <w:rPr>
          <w:rFonts w:ascii="Arial" w:hAnsi="Arial" w:cs="Arial"/>
        </w:rPr>
        <w:t>date</w:t>
      </w:r>
      <w:r w:rsidR="00D96639" w:rsidRPr="006762D8">
        <w:rPr>
          <w:rFonts w:ascii="Arial" w:hAnsi="Arial" w:cs="Arial"/>
          <w:spacing w:val="-6"/>
        </w:rPr>
        <w:t xml:space="preserve"> </w:t>
      </w:r>
      <w:r w:rsidR="00D96639" w:rsidRPr="006762D8">
        <w:rPr>
          <w:rFonts w:ascii="Arial" w:hAnsi="Arial" w:cs="Arial"/>
        </w:rPr>
        <w:t>of</w:t>
      </w:r>
      <w:r w:rsidR="00D96639" w:rsidRPr="006762D8">
        <w:rPr>
          <w:rFonts w:ascii="Arial" w:hAnsi="Arial" w:cs="Arial"/>
          <w:spacing w:val="-7"/>
        </w:rPr>
        <w:t xml:space="preserve"> </w:t>
      </w:r>
      <w:r w:rsidR="00D96639" w:rsidRPr="006762D8">
        <w:rPr>
          <w:rFonts w:ascii="Arial" w:hAnsi="Arial" w:cs="Arial"/>
        </w:rPr>
        <w:t>the</w:t>
      </w:r>
      <w:r w:rsidR="00D96639" w:rsidRPr="006762D8">
        <w:rPr>
          <w:rFonts w:ascii="Arial" w:hAnsi="Arial" w:cs="Arial"/>
          <w:spacing w:val="-6"/>
        </w:rPr>
        <w:t xml:space="preserve"> </w:t>
      </w:r>
      <w:r w:rsidR="00D96639" w:rsidRPr="006762D8">
        <w:rPr>
          <w:rFonts w:ascii="Arial" w:hAnsi="Arial" w:cs="Arial"/>
        </w:rPr>
        <w:t>meeting</w:t>
      </w:r>
      <w:r w:rsidR="00BB7CAC">
        <w:rPr>
          <w:rFonts w:ascii="Arial" w:hAnsi="Arial" w:cs="Arial"/>
        </w:rPr>
        <w:t>,</w:t>
      </w:r>
      <w:r w:rsidR="00D96639" w:rsidRPr="006762D8">
        <w:rPr>
          <w:rFonts w:ascii="Arial" w:hAnsi="Arial" w:cs="Arial"/>
          <w:spacing w:val="-5"/>
        </w:rPr>
        <w:t xml:space="preserve"> </w:t>
      </w:r>
      <w:r w:rsidR="00D96639" w:rsidRPr="006762D8">
        <w:rPr>
          <w:rFonts w:ascii="Arial" w:hAnsi="Arial" w:cs="Arial"/>
        </w:rPr>
        <w:t>or</w:t>
      </w:r>
      <w:r w:rsidR="00D96639" w:rsidRPr="006762D8">
        <w:rPr>
          <w:rFonts w:ascii="Arial" w:hAnsi="Arial" w:cs="Arial"/>
          <w:spacing w:val="-6"/>
        </w:rPr>
        <w:t xml:space="preserve"> </w:t>
      </w:r>
      <w:r w:rsidR="00D96639" w:rsidRPr="006762D8">
        <w:rPr>
          <w:rFonts w:ascii="Arial" w:hAnsi="Arial" w:cs="Arial"/>
        </w:rPr>
        <w:t>as</w:t>
      </w:r>
      <w:r w:rsidR="00D96639" w:rsidRPr="006762D8">
        <w:rPr>
          <w:rFonts w:ascii="Arial" w:hAnsi="Arial" w:cs="Arial"/>
          <w:spacing w:val="-9"/>
        </w:rPr>
        <w:t xml:space="preserve"> </w:t>
      </w:r>
      <w:r w:rsidR="00D96639" w:rsidRPr="006762D8">
        <w:rPr>
          <w:rFonts w:ascii="Arial" w:hAnsi="Arial" w:cs="Arial"/>
        </w:rPr>
        <w:t>otherwise</w:t>
      </w:r>
      <w:r w:rsidR="00D96639" w:rsidRPr="006762D8">
        <w:rPr>
          <w:rFonts w:ascii="Arial" w:hAnsi="Arial" w:cs="Arial"/>
          <w:spacing w:val="-4"/>
        </w:rPr>
        <w:t xml:space="preserve"> </w:t>
      </w:r>
      <w:r w:rsidR="00BB7CAC">
        <w:rPr>
          <w:rFonts w:ascii="Arial" w:hAnsi="Arial" w:cs="Arial"/>
          <w:spacing w:val="-4"/>
        </w:rPr>
        <w:t>agreed by with the Committee Chair</w:t>
      </w:r>
      <w:r w:rsidR="00D96639" w:rsidRPr="006762D8">
        <w:rPr>
          <w:rFonts w:ascii="Arial" w:hAnsi="Arial" w:cs="Arial"/>
        </w:rPr>
        <w:t>.</w:t>
      </w:r>
    </w:p>
    <w:p w14:paraId="2DC4CFD1" w14:textId="2D82CD26" w:rsidR="00193B85" w:rsidRPr="006762D8" w:rsidRDefault="00D96639" w:rsidP="00330F6A">
      <w:pPr>
        <w:pStyle w:val="ListParagraph"/>
        <w:numPr>
          <w:ilvl w:val="1"/>
          <w:numId w:val="3"/>
        </w:numPr>
        <w:tabs>
          <w:tab w:val="left" w:pos="855"/>
        </w:tabs>
        <w:spacing w:before="101"/>
        <w:ind w:right="99"/>
        <w:rPr>
          <w:rFonts w:ascii="Arial" w:hAnsi="Arial" w:cs="Arial"/>
        </w:rPr>
      </w:pPr>
      <w:r w:rsidRPr="006762D8">
        <w:rPr>
          <w:rFonts w:ascii="Arial" w:hAnsi="Arial" w:cs="Arial"/>
        </w:rPr>
        <w:t xml:space="preserve">Supporting papers shall be sent to Committee members and to other attendees </w:t>
      </w:r>
      <w:r w:rsidR="00BB7CAC">
        <w:rPr>
          <w:rFonts w:ascii="Arial" w:hAnsi="Arial" w:cs="Arial"/>
        </w:rPr>
        <w:t xml:space="preserve">in a timely fashion </w:t>
      </w:r>
      <w:r w:rsidRPr="006762D8">
        <w:rPr>
          <w:rFonts w:ascii="Arial" w:hAnsi="Arial" w:cs="Arial"/>
        </w:rPr>
        <w:t>as appropriate</w:t>
      </w:r>
      <w:r w:rsidR="00C776C5">
        <w:rPr>
          <w:rFonts w:ascii="Arial" w:hAnsi="Arial" w:cs="Arial"/>
        </w:rPr>
        <w:t xml:space="preserve"> or </w:t>
      </w:r>
      <w:r w:rsidRPr="006762D8">
        <w:rPr>
          <w:rFonts w:ascii="Arial" w:hAnsi="Arial" w:cs="Arial"/>
        </w:rPr>
        <w:t>at</w:t>
      </w:r>
      <w:r w:rsidRPr="006762D8">
        <w:rPr>
          <w:rFonts w:ascii="Arial" w:hAnsi="Arial" w:cs="Arial"/>
          <w:spacing w:val="-4"/>
        </w:rPr>
        <w:t xml:space="preserve"> </w:t>
      </w:r>
      <w:r w:rsidRPr="006762D8">
        <w:rPr>
          <w:rFonts w:ascii="Arial" w:hAnsi="Arial" w:cs="Arial"/>
        </w:rPr>
        <w:t>shorter</w:t>
      </w:r>
      <w:r w:rsidRPr="006762D8">
        <w:rPr>
          <w:rFonts w:ascii="Arial" w:hAnsi="Arial" w:cs="Arial"/>
          <w:spacing w:val="-4"/>
        </w:rPr>
        <w:t xml:space="preserve"> </w:t>
      </w:r>
      <w:r w:rsidRPr="006762D8">
        <w:rPr>
          <w:rFonts w:ascii="Arial" w:hAnsi="Arial" w:cs="Arial"/>
        </w:rPr>
        <w:t>notice with the approval of the Committee</w:t>
      </w:r>
      <w:r w:rsidRPr="006762D8">
        <w:rPr>
          <w:rFonts w:ascii="Arial" w:hAnsi="Arial" w:cs="Arial"/>
          <w:spacing w:val="-7"/>
        </w:rPr>
        <w:t xml:space="preserve"> </w:t>
      </w:r>
      <w:r w:rsidRPr="006762D8">
        <w:rPr>
          <w:rFonts w:ascii="Arial" w:hAnsi="Arial" w:cs="Arial"/>
        </w:rPr>
        <w:t>Chair.</w:t>
      </w:r>
    </w:p>
    <w:p w14:paraId="323FA16D" w14:textId="77777777" w:rsidR="00193B85" w:rsidRPr="006762D8" w:rsidRDefault="00193B85">
      <w:pPr>
        <w:pStyle w:val="BodyText"/>
        <w:spacing w:before="8"/>
        <w:rPr>
          <w:rFonts w:ascii="Arial" w:hAnsi="Arial" w:cs="Arial"/>
          <w:sz w:val="32"/>
        </w:rPr>
      </w:pPr>
    </w:p>
    <w:p w14:paraId="4E2092D0" w14:textId="77777777" w:rsidR="00193B85" w:rsidRPr="006762D8" w:rsidRDefault="00D96639">
      <w:pPr>
        <w:pStyle w:val="Heading1"/>
        <w:numPr>
          <w:ilvl w:val="0"/>
          <w:numId w:val="3"/>
        </w:numPr>
        <w:tabs>
          <w:tab w:val="left" w:pos="929"/>
          <w:tab w:val="left" w:pos="930"/>
        </w:tabs>
        <w:ind w:left="929" w:hanging="784"/>
        <w:rPr>
          <w:rFonts w:ascii="Arial" w:hAnsi="Arial" w:cs="Arial"/>
        </w:rPr>
      </w:pPr>
      <w:r w:rsidRPr="006762D8">
        <w:rPr>
          <w:rFonts w:ascii="Arial" w:hAnsi="Arial" w:cs="Arial"/>
        </w:rPr>
        <w:t>Minutes of</w:t>
      </w:r>
      <w:r w:rsidRPr="006762D8">
        <w:rPr>
          <w:rFonts w:ascii="Arial" w:hAnsi="Arial" w:cs="Arial"/>
          <w:spacing w:val="-4"/>
        </w:rPr>
        <w:t xml:space="preserve"> </w:t>
      </w:r>
      <w:r w:rsidRPr="006762D8">
        <w:rPr>
          <w:rFonts w:ascii="Arial" w:hAnsi="Arial" w:cs="Arial"/>
        </w:rPr>
        <w:t>Meetings</w:t>
      </w:r>
    </w:p>
    <w:p w14:paraId="52AD0297" w14:textId="77777777" w:rsidR="00193B85" w:rsidRPr="006762D8" w:rsidRDefault="00193B85">
      <w:pPr>
        <w:pStyle w:val="BodyText"/>
        <w:spacing w:before="10"/>
        <w:rPr>
          <w:rFonts w:ascii="Arial" w:hAnsi="Arial" w:cs="Arial"/>
          <w:b/>
        </w:rPr>
      </w:pPr>
    </w:p>
    <w:p w14:paraId="52492A34" w14:textId="3ECBAAD0" w:rsidR="00193B85" w:rsidRPr="006762D8" w:rsidRDefault="00D96639" w:rsidP="0056333E">
      <w:pPr>
        <w:pStyle w:val="ListParagraph"/>
        <w:numPr>
          <w:ilvl w:val="1"/>
          <w:numId w:val="3"/>
        </w:numPr>
        <w:tabs>
          <w:tab w:val="left" w:pos="867"/>
        </w:tabs>
        <w:ind w:left="866" w:right="99" w:hanging="720"/>
        <w:rPr>
          <w:rFonts w:ascii="Arial" w:hAnsi="Arial" w:cs="Arial"/>
        </w:rPr>
      </w:pPr>
      <w:r w:rsidRPr="006762D8">
        <w:rPr>
          <w:rFonts w:ascii="Arial" w:hAnsi="Arial" w:cs="Arial"/>
        </w:rPr>
        <w:t xml:space="preserve">The Secretary shall minute the proceedings and </w:t>
      </w:r>
      <w:r w:rsidR="00C776C5">
        <w:rPr>
          <w:rFonts w:ascii="Arial" w:hAnsi="Arial" w:cs="Arial"/>
        </w:rPr>
        <w:t>decisions</w:t>
      </w:r>
      <w:r w:rsidR="00C776C5" w:rsidRPr="006762D8">
        <w:rPr>
          <w:rFonts w:ascii="Arial" w:hAnsi="Arial" w:cs="Arial"/>
        </w:rPr>
        <w:t xml:space="preserve"> </w:t>
      </w:r>
      <w:r w:rsidRPr="006762D8">
        <w:rPr>
          <w:rFonts w:ascii="Arial" w:hAnsi="Arial" w:cs="Arial"/>
        </w:rPr>
        <w:t>of all Committee meetings, including the names of those present and in</w:t>
      </w:r>
      <w:r w:rsidRPr="006762D8">
        <w:rPr>
          <w:rFonts w:ascii="Arial" w:hAnsi="Arial" w:cs="Arial"/>
          <w:spacing w:val="-11"/>
        </w:rPr>
        <w:t xml:space="preserve"> </w:t>
      </w:r>
      <w:r w:rsidRPr="006762D8">
        <w:rPr>
          <w:rFonts w:ascii="Arial" w:hAnsi="Arial" w:cs="Arial"/>
        </w:rPr>
        <w:t>attendance.</w:t>
      </w:r>
    </w:p>
    <w:p w14:paraId="290084E9" w14:textId="13B6028E" w:rsidR="00590406" w:rsidRDefault="00D96639" w:rsidP="007E39F0">
      <w:pPr>
        <w:pStyle w:val="ListParagraph"/>
        <w:numPr>
          <w:ilvl w:val="1"/>
          <w:numId w:val="3"/>
        </w:numPr>
        <w:tabs>
          <w:tab w:val="left" w:pos="867"/>
        </w:tabs>
        <w:spacing w:before="152"/>
        <w:ind w:left="866" w:right="99" w:hanging="720"/>
        <w:rPr>
          <w:rFonts w:ascii="Arial" w:hAnsi="Arial" w:cs="Arial"/>
        </w:rPr>
      </w:pPr>
      <w:r w:rsidRPr="006762D8">
        <w:rPr>
          <w:rFonts w:ascii="Arial" w:hAnsi="Arial" w:cs="Arial"/>
        </w:rPr>
        <w:t xml:space="preserve">Draft minutes of Committee meetings shall be circulated to all members of the Committee </w:t>
      </w:r>
      <w:r w:rsidR="00C776C5">
        <w:rPr>
          <w:rFonts w:ascii="Arial" w:hAnsi="Arial" w:cs="Arial"/>
        </w:rPr>
        <w:t>in the next meeting pack</w:t>
      </w:r>
      <w:r w:rsidRPr="006762D8">
        <w:rPr>
          <w:rFonts w:ascii="Arial" w:hAnsi="Arial" w:cs="Arial"/>
        </w:rPr>
        <w:t>, unless a conflict of interest exists.</w:t>
      </w:r>
    </w:p>
    <w:p w14:paraId="1BC076B1" w14:textId="780C11BB" w:rsidR="00193B85" w:rsidRDefault="00590406" w:rsidP="007E39F0">
      <w:pPr>
        <w:pStyle w:val="ListParagraph"/>
        <w:numPr>
          <w:ilvl w:val="1"/>
          <w:numId w:val="3"/>
        </w:numPr>
        <w:tabs>
          <w:tab w:val="left" w:pos="867"/>
        </w:tabs>
        <w:spacing w:before="152"/>
        <w:ind w:left="866" w:right="99" w:hanging="720"/>
        <w:rPr>
          <w:rFonts w:ascii="Arial" w:hAnsi="Arial" w:cs="Arial"/>
        </w:rPr>
      </w:pPr>
      <w:r w:rsidRPr="00590406">
        <w:rPr>
          <w:rFonts w:ascii="Arial" w:hAnsi="Arial" w:cs="Arial"/>
        </w:rPr>
        <w:t>W</w:t>
      </w:r>
      <w:r w:rsidR="001E5765" w:rsidRPr="00590406">
        <w:rPr>
          <w:rFonts w:ascii="Arial" w:hAnsi="Arial" w:cs="Arial"/>
        </w:rPr>
        <w:t>here required due to urgency or expediency, a decision may be recorded and agreed by all the members of the Committee electronically by email. Such a decision will be as effective as a resolution passed at a Committee meeting.</w:t>
      </w:r>
    </w:p>
    <w:p w14:paraId="15B36DAA" w14:textId="77777777" w:rsidR="00590406" w:rsidRPr="00590406" w:rsidRDefault="00590406" w:rsidP="00590406">
      <w:pPr>
        <w:pStyle w:val="ListParagraph"/>
        <w:tabs>
          <w:tab w:val="left" w:pos="867"/>
        </w:tabs>
        <w:spacing w:before="152"/>
        <w:ind w:right="470" w:firstLine="0"/>
        <w:rPr>
          <w:rFonts w:ascii="Arial" w:hAnsi="Arial" w:cs="Arial"/>
        </w:rPr>
      </w:pPr>
    </w:p>
    <w:p w14:paraId="41962A5C" w14:textId="77777777" w:rsidR="00193B85" w:rsidRPr="006762D8" w:rsidRDefault="00D96639">
      <w:pPr>
        <w:pStyle w:val="Heading1"/>
        <w:numPr>
          <w:ilvl w:val="0"/>
          <w:numId w:val="3"/>
        </w:numPr>
        <w:tabs>
          <w:tab w:val="left" w:pos="929"/>
          <w:tab w:val="left" w:pos="930"/>
        </w:tabs>
        <w:spacing w:before="1"/>
        <w:ind w:left="929" w:hanging="784"/>
        <w:rPr>
          <w:rFonts w:ascii="Arial" w:hAnsi="Arial" w:cs="Arial"/>
        </w:rPr>
      </w:pPr>
      <w:r w:rsidRPr="006762D8">
        <w:rPr>
          <w:rFonts w:ascii="Arial" w:hAnsi="Arial" w:cs="Arial"/>
        </w:rPr>
        <w:t>Annual General</w:t>
      </w:r>
      <w:r w:rsidRPr="006762D8">
        <w:rPr>
          <w:rFonts w:ascii="Arial" w:hAnsi="Arial" w:cs="Arial"/>
          <w:spacing w:val="-4"/>
        </w:rPr>
        <w:t xml:space="preserve"> </w:t>
      </w:r>
      <w:r w:rsidRPr="006762D8">
        <w:rPr>
          <w:rFonts w:ascii="Arial" w:hAnsi="Arial" w:cs="Arial"/>
        </w:rPr>
        <w:t>Meeting</w:t>
      </w:r>
    </w:p>
    <w:p w14:paraId="38E3DEE5" w14:textId="77777777" w:rsidR="00193B85" w:rsidRPr="006762D8" w:rsidRDefault="00193B85">
      <w:pPr>
        <w:pStyle w:val="BodyText"/>
        <w:rPr>
          <w:rFonts w:ascii="Arial" w:hAnsi="Arial" w:cs="Arial"/>
          <w:b/>
          <w:sz w:val="23"/>
        </w:rPr>
      </w:pPr>
    </w:p>
    <w:p w14:paraId="030D3ADE" w14:textId="5660511A" w:rsidR="002455F8" w:rsidRDefault="00D96639" w:rsidP="007E39F0">
      <w:pPr>
        <w:pStyle w:val="ListParagraph"/>
        <w:numPr>
          <w:ilvl w:val="1"/>
          <w:numId w:val="3"/>
        </w:numPr>
        <w:tabs>
          <w:tab w:val="left" w:pos="867"/>
        </w:tabs>
        <w:ind w:left="850" w:right="99" w:hanging="737"/>
        <w:rPr>
          <w:rFonts w:ascii="Arial" w:hAnsi="Arial" w:cs="Arial"/>
        </w:rPr>
      </w:pPr>
      <w:r w:rsidRPr="006762D8">
        <w:rPr>
          <w:rFonts w:ascii="Arial" w:hAnsi="Arial" w:cs="Arial"/>
        </w:rPr>
        <w:t xml:space="preserve">The Committee </w:t>
      </w:r>
      <w:r w:rsidR="00F63CE3">
        <w:rPr>
          <w:rFonts w:ascii="Arial" w:hAnsi="Arial" w:cs="Arial"/>
        </w:rPr>
        <w:t xml:space="preserve">Chair </w:t>
      </w:r>
      <w:r w:rsidRPr="006762D8">
        <w:rPr>
          <w:rFonts w:ascii="Arial" w:hAnsi="Arial" w:cs="Arial"/>
        </w:rPr>
        <w:t>shall attend the Annual General Meeting to respond to any shareholder questions on the Committee's</w:t>
      </w:r>
      <w:r w:rsidRPr="006762D8">
        <w:rPr>
          <w:rFonts w:ascii="Arial" w:hAnsi="Arial" w:cs="Arial"/>
          <w:spacing w:val="-11"/>
        </w:rPr>
        <w:t xml:space="preserve"> </w:t>
      </w:r>
      <w:r w:rsidRPr="006762D8">
        <w:rPr>
          <w:rFonts w:ascii="Arial" w:hAnsi="Arial" w:cs="Arial"/>
        </w:rPr>
        <w:t>activities</w:t>
      </w:r>
      <w:r w:rsidR="002455F8">
        <w:rPr>
          <w:rFonts w:ascii="Arial" w:hAnsi="Arial" w:cs="Arial"/>
        </w:rPr>
        <w:t>.</w:t>
      </w:r>
      <w:r w:rsidR="007509A6">
        <w:rPr>
          <w:rFonts w:ascii="Arial" w:hAnsi="Arial" w:cs="Arial"/>
        </w:rPr>
        <w:t xml:space="preserve"> </w:t>
      </w:r>
    </w:p>
    <w:p w14:paraId="7937A28F" w14:textId="77777777" w:rsidR="00F63CE3" w:rsidRPr="003601E9" w:rsidRDefault="00F63CE3" w:rsidP="003601E9">
      <w:pPr>
        <w:tabs>
          <w:tab w:val="left" w:pos="867"/>
        </w:tabs>
        <w:ind w:left="113" w:right="99"/>
        <w:rPr>
          <w:rFonts w:ascii="Arial" w:hAnsi="Arial" w:cs="Arial"/>
        </w:rPr>
      </w:pPr>
    </w:p>
    <w:p w14:paraId="18EAB802" w14:textId="48142D7C" w:rsidR="00193B85" w:rsidRPr="006762D8" w:rsidRDefault="002455F8" w:rsidP="007E39F0">
      <w:pPr>
        <w:pStyle w:val="ListParagraph"/>
        <w:numPr>
          <w:ilvl w:val="1"/>
          <w:numId w:val="3"/>
        </w:numPr>
        <w:tabs>
          <w:tab w:val="left" w:pos="867"/>
        </w:tabs>
        <w:ind w:left="850" w:right="99" w:hanging="737"/>
        <w:rPr>
          <w:rFonts w:ascii="Arial" w:hAnsi="Arial" w:cs="Arial"/>
        </w:rPr>
      </w:pPr>
      <w:r>
        <w:rPr>
          <w:rFonts w:ascii="Arial" w:hAnsi="Arial" w:cs="Arial"/>
        </w:rPr>
        <w:t xml:space="preserve">The Committee </w:t>
      </w:r>
      <w:r w:rsidR="00F63CE3">
        <w:rPr>
          <w:rFonts w:ascii="Arial" w:hAnsi="Arial" w:cs="Arial"/>
        </w:rPr>
        <w:t xml:space="preserve">Chair shall seek engagement with shareholders on significant matters related to the Committee’s areas of responsibility prior to the AGM, where appropriate. </w:t>
      </w:r>
    </w:p>
    <w:p w14:paraId="7FA1DCC5" w14:textId="77777777" w:rsidR="00193B85" w:rsidRPr="006762D8" w:rsidRDefault="00193B85">
      <w:pPr>
        <w:pStyle w:val="BodyText"/>
        <w:spacing w:before="6"/>
        <w:rPr>
          <w:rFonts w:ascii="Arial" w:hAnsi="Arial" w:cs="Arial"/>
          <w:sz w:val="32"/>
        </w:rPr>
      </w:pPr>
    </w:p>
    <w:p w14:paraId="7F9F6CAC" w14:textId="77777777" w:rsidR="00193B85" w:rsidRPr="006762D8" w:rsidRDefault="00D96639">
      <w:pPr>
        <w:pStyle w:val="Heading1"/>
        <w:numPr>
          <w:ilvl w:val="0"/>
          <w:numId w:val="3"/>
        </w:numPr>
        <w:tabs>
          <w:tab w:val="left" w:pos="929"/>
          <w:tab w:val="left" w:pos="930"/>
        </w:tabs>
        <w:ind w:left="929" w:hanging="784"/>
        <w:rPr>
          <w:rFonts w:ascii="Arial" w:hAnsi="Arial" w:cs="Arial"/>
        </w:rPr>
      </w:pPr>
      <w:r w:rsidRPr="006762D8">
        <w:rPr>
          <w:rFonts w:ascii="Arial" w:hAnsi="Arial" w:cs="Arial"/>
        </w:rPr>
        <w:t>Reporting</w:t>
      </w:r>
      <w:r w:rsidRPr="006762D8">
        <w:rPr>
          <w:rFonts w:ascii="Arial" w:hAnsi="Arial" w:cs="Arial"/>
          <w:spacing w:val="-1"/>
        </w:rPr>
        <w:t xml:space="preserve"> </w:t>
      </w:r>
      <w:r w:rsidRPr="006762D8">
        <w:rPr>
          <w:rFonts w:ascii="Arial" w:hAnsi="Arial" w:cs="Arial"/>
        </w:rPr>
        <w:t>Responsibilities</w:t>
      </w:r>
    </w:p>
    <w:p w14:paraId="2218ED1C" w14:textId="77777777" w:rsidR="00193B85" w:rsidRPr="006762D8" w:rsidRDefault="00193B85">
      <w:pPr>
        <w:pStyle w:val="BodyText"/>
        <w:spacing w:before="10"/>
        <w:rPr>
          <w:rFonts w:ascii="Arial" w:hAnsi="Arial" w:cs="Arial"/>
          <w:b/>
        </w:rPr>
      </w:pPr>
    </w:p>
    <w:p w14:paraId="314D10EE" w14:textId="1190BF18" w:rsidR="00193B85" w:rsidRPr="006762D8" w:rsidRDefault="00D96639" w:rsidP="007E39F0">
      <w:pPr>
        <w:pStyle w:val="ListParagraph"/>
        <w:numPr>
          <w:ilvl w:val="1"/>
          <w:numId w:val="3"/>
        </w:numPr>
        <w:tabs>
          <w:tab w:val="left" w:pos="867"/>
        </w:tabs>
        <w:spacing w:before="1"/>
        <w:ind w:left="866" w:right="99" w:hanging="720"/>
        <w:rPr>
          <w:rFonts w:ascii="Arial" w:hAnsi="Arial" w:cs="Arial"/>
        </w:rPr>
      </w:pPr>
      <w:r w:rsidRPr="006762D8">
        <w:rPr>
          <w:rFonts w:ascii="Arial" w:hAnsi="Arial" w:cs="Arial"/>
        </w:rPr>
        <w:t xml:space="preserve">The Committee Chair shall report formally to the Board </w:t>
      </w:r>
      <w:r w:rsidR="00C532FE">
        <w:rPr>
          <w:rFonts w:ascii="Arial" w:hAnsi="Arial" w:cs="Arial"/>
        </w:rPr>
        <w:t>after each meeting on the content of its discussion, recommendation and action to be taken</w:t>
      </w:r>
      <w:r w:rsidRPr="006762D8">
        <w:rPr>
          <w:rFonts w:ascii="Arial" w:hAnsi="Arial" w:cs="Arial"/>
        </w:rPr>
        <w:t>.</w:t>
      </w:r>
      <w:r w:rsidR="002930A8" w:rsidRPr="006762D8">
        <w:rPr>
          <w:rFonts w:ascii="Arial" w:hAnsi="Arial" w:cs="Arial"/>
        </w:rPr>
        <w:t xml:space="preserve"> In relation to IG Markets Limited</w:t>
      </w:r>
      <w:r w:rsidR="003705B1">
        <w:rPr>
          <w:rFonts w:ascii="Arial" w:hAnsi="Arial" w:cs="Arial"/>
        </w:rPr>
        <w:t xml:space="preserve">, </w:t>
      </w:r>
      <w:r w:rsidR="002930A8" w:rsidRPr="006762D8">
        <w:rPr>
          <w:rFonts w:ascii="Arial" w:hAnsi="Arial" w:cs="Arial"/>
        </w:rPr>
        <w:t>IG Index Limited</w:t>
      </w:r>
      <w:r w:rsidR="003705B1" w:rsidRPr="003705B1">
        <w:rPr>
          <w:rFonts w:ascii="Arial" w:hAnsi="Arial" w:cs="Arial"/>
        </w:rPr>
        <w:t xml:space="preserve"> </w:t>
      </w:r>
      <w:r w:rsidR="003705B1" w:rsidRPr="003601E9">
        <w:rPr>
          <w:rFonts w:ascii="Arial" w:hAnsi="Arial" w:cs="Arial"/>
        </w:rPr>
        <w:t xml:space="preserve">and </w:t>
      </w:r>
      <w:r w:rsidR="003705B1" w:rsidRPr="003601E9">
        <w:rPr>
          <w:rStyle w:val="normaltextrun"/>
          <w:rFonts w:ascii="Arial" w:hAnsi="Arial" w:cs="Arial"/>
          <w:shd w:val="clear" w:color="auto" w:fill="FFFFFF"/>
        </w:rPr>
        <w:t>IG Trading and Investments Limited</w:t>
      </w:r>
      <w:r w:rsidR="002930A8" w:rsidRPr="003601E9">
        <w:rPr>
          <w:rFonts w:ascii="Arial" w:hAnsi="Arial" w:cs="Arial"/>
        </w:rPr>
        <w:t xml:space="preserve">, the </w:t>
      </w:r>
      <w:r w:rsidR="002930A8" w:rsidRPr="006762D8">
        <w:rPr>
          <w:rFonts w:ascii="Arial" w:hAnsi="Arial" w:cs="Arial"/>
        </w:rPr>
        <w:t>Chair shall provide periodic reports on relevant matters to th</w:t>
      </w:r>
      <w:r w:rsidR="00246606" w:rsidRPr="006762D8">
        <w:rPr>
          <w:rFonts w:ascii="Arial" w:hAnsi="Arial" w:cs="Arial"/>
        </w:rPr>
        <w:t>e Board of Directors of th</w:t>
      </w:r>
      <w:r w:rsidR="002930A8" w:rsidRPr="006762D8">
        <w:rPr>
          <w:rFonts w:ascii="Arial" w:hAnsi="Arial" w:cs="Arial"/>
        </w:rPr>
        <w:t>ose entities, including advising their respective management bodies of the matters considered on accordance with SYSC 19</w:t>
      </w:r>
      <w:r w:rsidR="007653EB">
        <w:rPr>
          <w:rFonts w:ascii="Arial" w:hAnsi="Arial" w:cs="Arial"/>
        </w:rPr>
        <w:t>G</w:t>
      </w:r>
      <w:r w:rsidR="002930A8" w:rsidRPr="006762D8">
        <w:rPr>
          <w:rFonts w:ascii="Arial" w:hAnsi="Arial" w:cs="Arial"/>
        </w:rPr>
        <w:t>.</w:t>
      </w:r>
    </w:p>
    <w:p w14:paraId="3A3FF888" w14:textId="0AF1D195" w:rsidR="00193B85" w:rsidRPr="006762D8" w:rsidRDefault="00D96639" w:rsidP="007E39F0">
      <w:pPr>
        <w:pStyle w:val="ListParagraph"/>
        <w:numPr>
          <w:ilvl w:val="1"/>
          <w:numId w:val="3"/>
        </w:numPr>
        <w:tabs>
          <w:tab w:val="left" w:pos="867"/>
        </w:tabs>
        <w:spacing w:before="149"/>
        <w:ind w:left="866" w:right="99" w:hanging="720"/>
        <w:rPr>
          <w:rFonts w:ascii="Arial" w:hAnsi="Arial" w:cs="Arial"/>
        </w:rPr>
      </w:pPr>
      <w:r w:rsidRPr="006762D8">
        <w:rPr>
          <w:rFonts w:ascii="Arial" w:hAnsi="Arial" w:cs="Arial"/>
        </w:rPr>
        <w:lastRenderedPageBreak/>
        <w:t>The</w:t>
      </w:r>
      <w:r w:rsidRPr="006762D8">
        <w:rPr>
          <w:rFonts w:ascii="Arial" w:hAnsi="Arial" w:cs="Arial"/>
          <w:spacing w:val="-10"/>
        </w:rPr>
        <w:t xml:space="preserve"> </w:t>
      </w:r>
      <w:r w:rsidRPr="006762D8">
        <w:rPr>
          <w:rFonts w:ascii="Arial" w:hAnsi="Arial" w:cs="Arial"/>
        </w:rPr>
        <w:t>Committee</w:t>
      </w:r>
      <w:r w:rsidRPr="006762D8">
        <w:rPr>
          <w:rFonts w:ascii="Arial" w:hAnsi="Arial" w:cs="Arial"/>
          <w:spacing w:val="-9"/>
        </w:rPr>
        <w:t xml:space="preserve"> </w:t>
      </w:r>
      <w:r w:rsidRPr="006762D8">
        <w:rPr>
          <w:rFonts w:ascii="Arial" w:hAnsi="Arial" w:cs="Arial"/>
        </w:rPr>
        <w:t>shall</w:t>
      </w:r>
      <w:r w:rsidRPr="006762D8">
        <w:rPr>
          <w:rFonts w:ascii="Arial" w:hAnsi="Arial" w:cs="Arial"/>
          <w:spacing w:val="-10"/>
        </w:rPr>
        <w:t xml:space="preserve"> </w:t>
      </w:r>
      <w:r w:rsidRPr="006762D8">
        <w:rPr>
          <w:rFonts w:ascii="Arial" w:hAnsi="Arial" w:cs="Arial"/>
        </w:rPr>
        <w:t>produce</w:t>
      </w:r>
      <w:r w:rsidRPr="006762D8">
        <w:rPr>
          <w:rFonts w:ascii="Arial" w:hAnsi="Arial" w:cs="Arial"/>
          <w:spacing w:val="-9"/>
        </w:rPr>
        <w:t xml:space="preserve"> </w:t>
      </w:r>
      <w:r w:rsidRPr="006762D8">
        <w:rPr>
          <w:rFonts w:ascii="Arial" w:hAnsi="Arial" w:cs="Arial"/>
        </w:rPr>
        <w:t>the</w:t>
      </w:r>
      <w:r w:rsidRPr="006762D8">
        <w:rPr>
          <w:rFonts w:ascii="Arial" w:hAnsi="Arial" w:cs="Arial"/>
          <w:spacing w:val="-10"/>
        </w:rPr>
        <w:t xml:space="preserve"> </w:t>
      </w:r>
      <w:r w:rsidRPr="006762D8">
        <w:rPr>
          <w:rFonts w:ascii="Arial" w:hAnsi="Arial" w:cs="Arial"/>
        </w:rPr>
        <w:t>Remuneration</w:t>
      </w:r>
      <w:r w:rsidRPr="006762D8">
        <w:rPr>
          <w:rFonts w:ascii="Arial" w:hAnsi="Arial" w:cs="Arial"/>
          <w:spacing w:val="-10"/>
        </w:rPr>
        <w:t xml:space="preserve"> </w:t>
      </w:r>
      <w:r w:rsidRPr="006762D8">
        <w:rPr>
          <w:rFonts w:ascii="Arial" w:hAnsi="Arial" w:cs="Arial"/>
        </w:rPr>
        <w:t>Report</w:t>
      </w:r>
      <w:r w:rsidRPr="006762D8">
        <w:rPr>
          <w:rFonts w:ascii="Arial" w:hAnsi="Arial" w:cs="Arial"/>
          <w:spacing w:val="-11"/>
        </w:rPr>
        <w:t xml:space="preserve"> </w:t>
      </w:r>
      <w:r w:rsidRPr="006762D8">
        <w:rPr>
          <w:rFonts w:ascii="Arial" w:hAnsi="Arial" w:cs="Arial"/>
        </w:rPr>
        <w:t>to</w:t>
      </w:r>
      <w:r w:rsidRPr="006762D8">
        <w:rPr>
          <w:rFonts w:ascii="Arial" w:hAnsi="Arial" w:cs="Arial"/>
          <w:spacing w:val="-11"/>
        </w:rPr>
        <w:t xml:space="preserve"> </w:t>
      </w:r>
      <w:r w:rsidRPr="006762D8">
        <w:rPr>
          <w:rFonts w:ascii="Arial" w:hAnsi="Arial" w:cs="Arial"/>
        </w:rPr>
        <w:t>shareholders</w:t>
      </w:r>
      <w:r w:rsidRPr="006762D8">
        <w:rPr>
          <w:rFonts w:ascii="Arial" w:hAnsi="Arial" w:cs="Arial"/>
          <w:spacing w:val="-9"/>
        </w:rPr>
        <w:t xml:space="preserve"> </w:t>
      </w:r>
      <w:r w:rsidRPr="006762D8">
        <w:rPr>
          <w:rFonts w:ascii="Arial" w:hAnsi="Arial" w:cs="Arial"/>
        </w:rPr>
        <w:t>which</w:t>
      </w:r>
      <w:r w:rsidRPr="006762D8">
        <w:rPr>
          <w:rFonts w:ascii="Arial" w:hAnsi="Arial" w:cs="Arial"/>
          <w:spacing w:val="-11"/>
        </w:rPr>
        <w:t xml:space="preserve"> </w:t>
      </w:r>
      <w:r w:rsidRPr="006762D8">
        <w:rPr>
          <w:rFonts w:ascii="Arial" w:hAnsi="Arial" w:cs="Arial"/>
        </w:rPr>
        <w:t>will</w:t>
      </w:r>
      <w:r w:rsidRPr="006762D8">
        <w:rPr>
          <w:rFonts w:ascii="Arial" w:hAnsi="Arial" w:cs="Arial"/>
          <w:spacing w:val="-8"/>
        </w:rPr>
        <w:t xml:space="preserve"> </w:t>
      </w:r>
      <w:r w:rsidRPr="006762D8">
        <w:rPr>
          <w:rFonts w:ascii="Arial" w:hAnsi="Arial" w:cs="Arial"/>
        </w:rPr>
        <w:t>form</w:t>
      </w:r>
      <w:r w:rsidRPr="006762D8">
        <w:rPr>
          <w:rFonts w:ascii="Arial" w:hAnsi="Arial" w:cs="Arial"/>
          <w:spacing w:val="-13"/>
        </w:rPr>
        <w:t xml:space="preserve"> </w:t>
      </w:r>
      <w:r w:rsidRPr="006762D8">
        <w:rPr>
          <w:rFonts w:ascii="Arial" w:hAnsi="Arial" w:cs="Arial"/>
        </w:rPr>
        <w:t>part of</w:t>
      </w:r>
      <w:r w:rsidRPr="006762D8">
        <w:rPr>
          <w:rFonts w:ascii="Arial" w:hAnsi="Arial" w:cs="Arial"/>
          <w:spacing w:val="-5"/>
        </w:rPr>
        <w:t xml:space="preserve"> </w:t>
      </w:r>
      <w:r w:rsidRPr="006762D8">
        <w:rPr>
          <w:rFonts w:ascii="Arial" w:hAnsi="Arial" w:cs="Arial"/>
        </w:rPr>
        <w:t>the</w:t>
      </w:r>
      <w:r w:rsidRPr="006762D8">
        <w:rPr>
          <w:rFonts w:ascii="Arial" w:hAnsi="Arial" w:cs="Arial"/>
          <w:spacing w:val="-4"/>
        </w:rPr>
        <w:t xml:space="preserve"> </w:t>
      </w:r>
      <w:r w:rsidRPr="006762D8">
        <w:rPr>
          <w:rFonts w:ascii="Arial" w:hAnsi="Arial" w:cs="Arial"/>
        </w:rPr>
        <w:t>Annual</w:t>
      </w:r>
      <w:r w:rsidRPr="006762D8">
        <w:rPr>
          <w:rFonts w:ascii="Arial" w:hAnsi="Arial" w:cs="Arial"/>
          <w:spacing w:val="-3"/>
        </w:rPr>
        <w:t xml:space="preserve"> </w:t>
      </w:r>
      <w:r w:rsidRPr="006762D8">
        <w:rPr>
          <w:rFonts w:ascii="Arial" w:hAnsi="Arial" w:cs="Arial"/>
        </w:rPr>
        <w:t>Report</w:t>
      </w:r>
      <w:r w:rsidRPr="006762D8">
        <w:rPr>
          <w:rFonts w:ascii="Arial" w:hAnsi="Arial" w:cs="Arial"/>
          <w:spacing w:val="-5"/>
        </w:rPr>
        <w:t xml:space="preserve"> </w:t>
      </w:r>
      <w:r w:rsidRPr="006762D8">
        <w:rPr>
          <w:rFonts w:ascii="Arial" w:hAnsi="Arial" w:cs="Arial"/>
        </w:rPr>
        <w:t>of</w:t>
      </w:r>
      <w:r w:rsidRPr="006762D8">
        <w:rPr>
          <w:rFonts w:ascii="Arial" w:hAnsi="Arial" w:cs="Arial"/>
          <w:spacing w:val="-5"/>
        </w:rPr>
        <w:t xml:space="preserve"> </w:t>
      </w:r>
      <w:r w:rsidRPr="006762D8">
        <w:rPr>
          <w:rFonts w:ascii="Arial" w:hAnsi="Arial" w:cs="Arial"/>
        </w:rPr>
        <w:t>the</w:t>
      </w:r>
      <w:r w:rsidRPr="006762D8">
        <w:rPr>
          <w:rFonts w:ascii="Arial" w:hAnsi="Arial" w:cs="Arial"/>
          <w:spacing w:val="-3"/>
        </w:rPr>
        <w:t xml:space="preserve"> </w:t>
      </w:r>
      <w:r w:rsidRPr="006762D8">
        <w:rPr>
          <w:rFonts w:ascii="Arial" w:hAnsi="Arial" w:cs="Arial"/>
        </w:rPr>
        <w:t>Group</w:t>
      </w:r>
      <w:r w:rsidRPr="006762D8">
        <w:rPr>
          <w:rFonts w:ascii="Arial" w:hAnsi="Arial" w:cs="Arial"/>
          <w:spacing w:val="-4"/>
        </w:rPr>
        <w:t xml:space="preserve"> </w:t>
      </w:r>
      <w:r w:rsidRPr="006762D8">
        <w:rPr>
          <w:rFonts w:ascii="Arial" w:hAnsi="Arial" w:cs="Arial"/>
        </w:rPr>
        <w:t>and</w:t>
      </w:r>
      <w:r w:rsidRPr="006762D8">
        <w:rPr>
          <w:rFonts w:ascii="Arial" w:hAnsi="Arial" w:cs="Arial"/>
          <w:spacing w:val="-5"/>
        </w:rPr>
        <w:t xml:space="preserve"> </w:t>
      </w:r>
      <w:r w:rsidRPr="006762D8">
        <w:rPr>
          <w:rFonts w:ascii="Arial" w:hAnsi="Arial" w:cs="Arial"/>
        </w:rPr>
        <w:t>will</w:t>
      </w:r>
      <w:r w:rsidRPr="006762D8">
        <w:rPr>
          <w:rFonts w:ascii="Arial" w:hAnsi="Arial" w:cs="Arial"/>
          <w:spacing w:val="-3"/>
        </w:rPr>
        <w:t xml:space="preserve"> </w:t>
      </w:r>
      <w:r w:rsidRPr="006762D8">
        <w:rPr>
          <w:rFonts w:ascii="Arial" w:hAnsi="Arial" w:cs="Arial"/>
        </w:rPr>
        <w:t>include</w:t>
      </w:r>
      <w:r w:rsidRPr="006762D8">
        <w:rPr>
          <w:rFonts w:ascii="Arial" w:hAnsi="Arial" w:cs="Arial"/>
          <w:spacing w:val="-4"/>
        </w:rPr>
        <w:t xml:space="preserve"> </w:t>
      </w:r>
      <w:r w:rsidRPr="006762D8">
        <w:rPr>
          <w:rFonts w:ascii="Arial" w:hAnsi="Arial" w:cs="Arial"/>
        </w:rPr>
        <w:t>all</w:t>
      </w:r>
      <w:r w:rsidRPr="006762D8">
        <w:rPr>
          <w:rFonts w:ascii="Arial" w:hAnsi="Arial" w:cs="Arial"/>
          <w:spacing w:val="-3"/>
        </w:rPr>
        <w:t xml:space="preserve"> </w:t>
      </w:r>
      <w:r w:rsidRPr="006762D8">
        <w:rPr>
          <w:rFonts w:ascii="Arial" w:hAnsi="Arial" w:cs="Arial"/>
        </w:rPr>
        <w:t>relevant</w:t>
      </w:r>
      <w:r w:rsidRPr="006762D8">
        <w:rPr>
          <w:rFonts w:ascii="Arial" w:hAnsi="Arial" w:cs="Arial"/>
          <w:spacing w:val="-8"/>
        </w:rPr>
        <w:t xml:space="preserve"> </w:t>
      </w:r>
      <w:r w:rsidRPr="006762D8">
        <w:rPr>
          <w:rFonts w:ascii="Arial" w:hAnsi="Arial" w:cs="Arial"/>
        </w:rPr>
        <w:t>information</w:t>
      </w:r>
      <w:r w:rsidRPr="006762D8">
        <w:rPr>
          <w:rFonts w:ascii="Arial" w:hAnsi="Arial" w:cs="Arial"/>
          <w:spacing w:val="-8"/>
        </w:rPr>
        <w:t xml:space="preserve"> </w:t>
      </w:r>
      <w:r w:rsidRPr="006762D8">
        <w:rPr>
          <w:rFonts w:ascii="Arial" w:hAnsi="Arial" w:cs="Arial"/>
        </w:rPr>
        <w:t>in</w:t>
      </w:r>
      <w:r w:rsidRPr="006762D8">
        <w:rPr>
          <w:rFonts w:ascii="Arial" w:hAnsi="Arial" w:cs="Arial"/>
          <w:spacing w:val="-5"/>
        </w:rPr>
        <w:t xml:space="preserve"> </w:t>
      </w:r>
      <w:r w:rsidRPr="006762D8">
        <w:rPr>
          <w:rFonts w:ascii="Arial" w:hAnsi="Arial" w:cs="Arial"/>
        </w:rPr>
        <w:t>respect</w:t>
      </w:r>
      <w:r w:rsidRPr="006762D8">
        <w:rPr>
          <w:rFonts w:ascii="Arial" w:hAnsi="Arial" w:cs="Arial"/>
          <w:spacing w:val="-5"/>
        </w:rPr>
        <w:t xml:space="preserve"> </w:t>
      </w:r>
      <w:r w:rsidRPr="006762D8">
        <w:rPr>
          <w:rFonts w:ascii="Arial" w:hAnsi="Arial" w:cs="Arial"/>
        </w:rPr>
        <w:t>of</w:t>
      </w:r>
      <w:r w:rsidRPr="006762D8">
        <w:rPr>
          <w:rFonts w:ascii="Arial" w:hAnsi="Arial" w:cs="Arial"/>
          <w:spacing w:val="-5"/>
        </w:rPr>
        <w:t xml:space="preserve"> </w:t>
      </w:r>
      <w:r w:rsidRPr="006762D8">
        <w:rPr>
          <w:rFonts w:ascii="Arial" w:hAnsi="Arial" w:cs="Arial"/>
        </w:rPr>
        <w:t>the Director</w:t>
      </w:r>
      <w:r w:rsidR="007653EB">
        <w:rPr>
          <w:rFonts w:ascii="Arial" w:hAnsi="Arial" w:cs="Arial"/>
        </w:rPr>
        <w:t>s’</w:t>
      </w:r>
      <w:r w:rsidRPr="006762D8">
        <w:rPr>
          <w:rFonts w:ascii="Arial" w:hAnsi="Arial" w:cs="Arial"/>
          <w:spacing w:val="-8"/>
        </w:rPr>
        <w:t xml:space="preserve"> </w:t>
      </w:r>
      <w:r w:rsidRPr="006762D8">
        <w:rPr>
          <w:rFonts w:ascii="Arial" w:hAnsi="Arial" w:cs="Arial"/>
        </w:rPr>
        <w:t>Remuneration</w:t>
      </w:r>
      <w:r w:rsidRPr="006762D8">
        <w:rPr>
          <w:rFonts w:ascii="Arial" w:hAnsi="Arial" w:cs="Arial"/>
          <w:spacing w:val="-13"/>
        </w:rPr>
        <w:t xml:space="preserve"> </w:t>
      </w:r>
      <w:r w:rsidRPr="006762D8">
        <w:rPr>
          <w:rFonts w:ascii="Arial" w:hAnsi="Arial" w:cs="Arial"/>
        </w:rPr>
        <w:t>Policy</w:t>
      </w:r>
      <w:r w:rsidRPr="006762D8">
        <w:rPr>
          <w:rFonts w:ascii="Arial" w:hAnsi="Arial" w:cs="Arial"/>
          <w:spacing w:val="-10"/>
        </w:rPr>
        <w:t xml:space="preserve"> </w:t>
      </w:r>
      <w:r w:rsidRPr="006762D8">
        <w:rPr>
          <w:rFonts w:ascii="Arial" w:hAnsi="Arial" w:cs="Arial"/>
        </w:rPr>
        <w:t>and</w:t>
      </w:r>
      <w:r w:rsidRPr="006762D8">
        <w:rPr>
          <w:rFonts w:ascii="Arial" w:hAnsi="Arial" w:cs="Arial"/>
          <w:spacing w:val="-9"/>
        </w:rPr>
        <w:t xml:space="preserve"> </w:t>
      </w:r>
      <w:r w:rsidRPr="006762D8">
        <w:rPr>
          <w:rFonts w:ascii="Arial" w:hAnsi="Arial" w:cs="Arial"/>
        </w:rPr>
        <w:t>practices</w:t>
      </w:r>
      <w:r w:rsidRPr="006762D8">
        <w:rPr>
          <w:rFonts w:ascii="Arial" w:hAnsi="Arial" w:cs="Arial"/>
          <w:spacing w:val="-6"/>
        </w:rPr>
        <w:t xml:space="preserve"> </w:t>
      </w:r>
      <w:r w:rsidRPr="006762D8">
        <w:rPr>
          <w:rFonts w:ascii="Arial" w:hAnsi="Arial" w:cs="Arial"/>
        </w:rPr>
        <w:t>and</w:t>
      </w:r>
      <w:r w:rsidRPr="006762D8">
        <w:rPr>
          <w:rFonts w:ascii="Arial" w:hAnsi="Arial" w:cs="Arial"/>
          <w:spacing w:val="-10"/>
        </w:rPr>
        <w:t xml:space="preserve"> </w:t>
      </w:r>
      <w:r w:rsidRPr="006762D8">
        <w:rPr>
          <w:rFonts w:ascii="Arial" w:hAnsi="Arial" w:cs="Arial"/>
        </w:rPr>
        <w:t>the</w:t>
      </w:r>
      <w:r w:rsidRPr="006762D8">
        <w:rPr>
          <w:rFonts w:ascii="Arial" w:hAnsi="Arial" w:cs="Arial"/>
          <w:spacing w:val="-9"/>
        </w:rPr>
        <w:t xml:space="preserve"> </w:t>
      </w:r>
      <w:r w:rsidRPr="006762D8">
        <w:rPr>
          <w:rFonts w:ascii="Arial" w:hAnsi="Arial" w:cs="Arial"/>
        </w:rPr>
        <w:t>information</w:t>
      </w:r>
      <w:r w:rsidRPr="006762D8">
        <w:rPr>
          <w:rFonts w:ascii="Arial" w:hAnsi="Arial" w:cs="Arial"/>
          <w:spacing w:val="-9"/>
        </w:rPr>
        <w:t xml:space="preserve"> </w:t>
      </w:r>
      <w:r w:rsidRPr="006762D8">
        <w:rPr>
          <w:rFonts w:ascii="Arial" w:hAnsi="Arial" w:cs="Arial"/>
        </w:rPr>
        <w:t>on</w:t>
      </w:r>
      <w:r w:rsidRPr="006762D8">
        <w:rPr>
          <w:rFonts w:ascii="Arial" w:hAnsi="Arial" w:cs="Arial"/>
          <w:spacing w:val="-8"/>
        </w:rPr>
        <w:t xml:space="preserve"> </w:t>
      </w:r>
      <w:r w:rsidRPr="006762D8">
        <w:rPr>
          <w:rFonts w:ascii="Arial" w:hAnsi="Arial" w:cs="Arial"/>
        </w:rPr>
        <w:t>directors'</w:t>
      </w:r>
      <w:r w:rsidRPr="006762D8">
        <w:rPr>
          <w:rFonts w:ascii="Arial" w:hAnsi="Arial" w:cs="Arial"/>
          <w:spacing w:val="-10"/>
        </w:rPr>
        <w:t xml:space="preserve"> </w:t>
      </w:r>
      <w:r w:rsidRPr="006762D8">
        <w:rPr>
          <w:rFonts w:ascii="Arial" w:hAnsi="Arial" w:cs="Arial"/>
        </w:rPr>
        <w:t>remuneration required by relevant legislation</w:t>
      </w:r>
      <w:r w:rsidR="00CE3529" w:rsidRPr="006762D8">
        <w:rPr>
          <w:rFonts w:ascii="Arial" w:hAnsi="Arial" w:cs="Arial"/>
        </w:rPr>
        <w:t>.</w:t>
      </w:r>
    </w:p>
    <w:p w14:paraId="432E5664" w14:textId="77777777" w:rsidR="00193B85" w:rsidRPr="006762D8" w:rsidRDefault="00D96639" w:rsidP="007E39F0">
      <w:pPr>
        <w:pStyle w:val="ListParagraph"/>
        <w:numPr>
          <w:ilvl w:val="1"/>
          <w:numId w:val="3"/>
        </w:numPr>
        <w:tabs>
          <w:tab w:val="left" w:pos="869"/>
        </w:tabs>
        <w:spacing w:before="152"/>
        <w:ind w:left="866" w:right="99" w:hanging="720"/>
        <w:rPr>
          <w:rFonts w:ascii="Arial" w:hAnsi="Arial" w:cs="Arial"/>
        </w:rPr>
      </w:pPr>
      <w:r w:rsidRPr="006762D8">
        <w:rPr>
          <w:rFonts w:ascii="Arial" w:hAnsi="Arial" w:cs="Arial"/>
        </w:rPr>
        <w:t>The Committee shall compile a report of the work of the Committee in discharging its responsibilities for inclusion in the Annual Report, including a statement setting out the context in which major decisions on Directors’ remuneration occurred and decisions have been</w:t>
      </w:r>
      <w:r w:rsidRPr="006762D8">
        <w:rPr>
          <w:rFonts w:ascii="Arial" w:hAnsi="Arial" w:cs="Arial"/>
          <w:spacing w:val="-7"/>
        </w:rPr>
        <w:t xml:space="preserve"> </w:t>
      </w:r>
      <w:r w:rsidRPr="006762D8">
        <w:rPr>
          <w:rFonts w:ascii="Arial" w:hAnsi="Arial" w:cs="Arial"/>
        </w:rPr>
        <w:t>taken.</w:t>
      </w:r>
      <w:r w:rsidRPr="006762D8">
        <w:rPr>
          <w:rFonts w:ascii="Arial" w:hAnsi="Arial" w:cs="Arial"/>
          <w:spacing w:val="-8"/>
        </w:rPr>
        <w:t xml:space="preserve"> </w:t>
      </w:r>
      <w:r w:rsidRPr="006762D8">
        <w:rPr>
          <w:rFonts w:ascii="Arial" w:hAnsi="Arial" w:cs="Arial"/>
        </w:rPr>
        <w:t>The</w:t>
      </w:r>
      <w:r w:rsidRPr="006762D8">
        <w:rPr>
          <w:rFonts w:ascii="Arial" w:hAnsi="Arial" w:cs="Arial"/>
          <w:spacing w:val="-9"/>
        </w:rPr>
        <w:t xml:space="preserve"> </w:t>
      </w:r>
      <w:r w:rsidRPr="006762D8">
        <w:rPr>
          <w:rFonts w:ascii="Arial" w:hAnsi="Arial" w:cs="Arial"/>
        </w:rPr>
        <w:t>report</w:t>
      </w:r>
      <w:r w:rsidRPr="006762D8">
        <w:rPr>
          <w:rFonts w:ascii="Arial" w:hAnsi="Arial" w:cs="Arial"/>
          <w:spacing w:val="-9"/>
        </w:rPr>
        <w:t xml:space="preserve"> </w:t>
      </w:r>
      <w:r w:rsidRPr="006762D8">
        <w:rPr>
          <w:rFonts w:ascii="Arial" w:hAnsi="Arial" w:cs="Arial"/>
        </w:rPr>
        <w:t>to</w:t>
      </w:r>
      <w:r w:rsidRPr="006762D8">
        <w:rPr>
          <w:rFonts w:ascii="Arial" w:hAnsi="Arial" w:cs="Arial"/>
          <w:spacing w:val="-8"/>
        </w:rPr>
        <w:t xml:space="preserve"> </w:t>
      </w:r>
      <w:r w:rsidRPr="006762D8">
        <w:rPr>
          <w:rFonts w:ascii="Arial" w:hAnsi="Arial" w:cs="Arial"/>
        </w:rPr>
        <w:t>shareholders</w:t>
      </w:r>
      <w:r w:rsidRPr="006762D8">
        <w:rPr>
          <w:rFonts w:ascii="Arial" w:hAnsi="Arial" w:cs="Arial"/>
          <w:spacing w:val="-7"/>
        </w:rPr>
        <w:t xml:space="preserve"> </w:t>
      </w:r>
      <w:r w:rsidRPr="006762D8">
        <w:rPr>
          <w:rFonts w:ascii="Arial" w:hAnsi="Arial" w:cs="Arial"/>
        </w:rPr>
        <w:t>should</w:t>
      </w:r>
      <w:r w:rsidRPr="006762D8">
        <w:rPr>
          <w:rFonts w:ascii="Arial" w:hAnsi="Arial" w:cs="Arial"/>
          <w:spacing w:val="-10"/>
        </w:rPr>
        <w:t xml:space="preserve"> </w:t>
      </w:r>
      <w:r w:rsidRPr="006762D8">
        <w:rPr>
          <w:rFonts w:ascii="Arial" w:hAnsi="Arial" w:cs="Arial"/>
        </w:rPr>
        <w:t>be</w:t>
      </w:r>
      <w:r w:rsidRPr="006762D8">
        <w:rPr>
          <w:rFonts w:ascii="Arial" w:hAnsi="Arial" w:cs="Arial"/>
          <w:spacing w:val="-4"/>
        </w:rPr>
        <w:t xml:space="preserve"> </w:t>
      </w:r>
      <w:r w:rsidRPr="006762D8">
        <w:rPr>
          <w:rFonts w:ascii="Arial" w:hAnsi="Arial" w:cs="Arial"/>
        </w:rPr>
        <w:t>able</w:t>
      </w:r>
      <w:r w:rsidRPr="006762D8">
        <w:rPr>
          <w:rFonts w:ascii="Arial" w:hAnsi="Arial" w:cs="Arial"/>
          <w:spacing w:val="-7"/>
        </w:rPr>
        <w:t xml:space="preserve"> </w:t>
      </w:r>
      <w:r w:rsidRPr="006762D8">
        <w:rPr>
          <w:rFonts w:ascii="Arial" w:hAnsi="Arial" w:cs="Arial"/>
        </w:rPr>
        <w:t>to</w:t>
      </w:r>
      <w:r w:rsidRPr="006762D8">
        <w:rPr>
          <w:rFonts w:ascii="Arial" w:hAnsi="Arial" w:cs="Arial"/>
          <w:spacing w:val="-8"/>
        </w:rPr>
        <w:t xml:space="preserve"> </w:t>
      </w:r>
      <w:r w:rsidRPr="006762D8">
        <w:rPr>
          <w:rFonts w:ascii="Arial" w:hAnsi="Arial" w:cs="Arial"/>
        </w:rPr>
        <w:t>demonstrate</w:t>
      </w:r>
      <w:r w:rsidRPr="006762D8">
        <w:rPr>
          <w:rFonts w:ascii="Arial" w:hAnsi="Arial" w:cs="Arial"/>
          <w:spacing w:val="-7"/>
        </w:rPr>
        <w:t xml:space="preserve"> </w:t>
      </w:r>
      <w:r w:rsidRPr="006762D8">
        <w:rPr>
          <w:rFonts w:ascii="Arial" w:hAnsi="Arial" w:cs="Arial"/>
        </w:rPr>
        <w:t>to</w:t>
      </w:r>
      <w:r w:rsidRPr="006762D8">
        <w:rPr>
          <w:rFonts w:ascii="Arial" w:hAnsi="Arial" w:cs="Arial"/>
          <w:spacing w:val="-8"/>
        </w:rPr>
        <w:t xml:space="preserve"> </w:t>
      </w:r>
      <w:r w:rsidRPr="006762D8">
        <w:rPr>
          <w:rFonts w:ascii="Arial" w:hAnsi="Arial" w:cs="Arial"/>
        </w:rPr>
        <w:t>shareholders</w:t>
      </w:r>
      <w:r w:rsidRPr="006762D8">
        <w:rPr>
          <w:rFonts w:ascii="Arial" w:hAnsi="Arial" w:cs="Arial"/>
          <w:spacing w:val="-9"/>
        </w:rPr>
        <w:t xml:space="preserve"> </w:t>
      </w:r>
      <w:r w:rsidRPr="006762D8">
        <w:rPr>
          <w:rFonts w:ascii="Arial" w:hAnsi="Arial" w:cs="Arial"/>
        </w:rPr>
        <w:t>how executive remuneration is aligned to the group’s long term strategic goals. Membership of the Committee and attendance shall also be noted in the Annual</w:t>
      </w:r>
      <w:r w:rsidRPr="006762D8">
        <w:rPr>
          <w:rFonts w:ascii="Arial" w:hAnsi="Arial" w:cs="Arial"/>
          <w:spacing w:val="-14"/>
        </w:rPr>
        <w:t xml:space="preserve"> </w:t>
      </w:r>
      <w:r w:rsidRPr="006762D8">
        <w:rPr>
          <w:rFonts w:ascii="Arial" w:hAnsi="Arial" w:cs="Arial"/>
        </w:rPr>
        <w:t>Report.</w:t>
      </w:r>
    </w:p>
    <w:p w14:paraId="63B52420" w14:textId="77777777" w:rsidR="00193B85" w:rsidRPr="006762D8" w:rsidRDefault="00D96639" w:rsidP="007E39F0">
      <w:pPr>
        <w:pStyle w:val="ListParagraph"/>
        <w:numPr>
          <w:ilvl w:val="1"/>
          <w:numId w:val="3"/>
        </w:numPr>
        <w:tabs>
          <w:tab w:val="left" w:pos="867"/>
        </w:tabs>
        <w:spacing w:before="151"/>
        <w:ind w:left="866" w:right="99" w:hanging="720"/>
        <w:rPr>
          <w:rFonts w:ascii="Arial" w:hAnsi="Arial" w:cs="Arial"/>
        </w:rPr>
      </w:pPr>
      <w:r w:rsidRPr="006762D8">
        <w:rPr>
          <w:rFonts w:ascii="Arial" w:hAnsi="Arial" w:cs="Arial"/>
        </w:rPr>
        <w:t>The Committee shall ensure that all other provisions regarding disclosure of remuneration including pensions, as set out in the Large and Medium-sized Companies and Groups (Accounts and Reports) Regulations 2008 (as amended) and the UK Corporate Governance Code are</w:t>
      </w:r>
      <w:r w:rsidRPr="006762D8">
        <w:rPr>
          <w:rFonts w:ascii="Arial" w:hAnsi="Arial" w:cs="Arial"/>
          <w:spacing w:val="-3"/>
        </w:rPr>
        <w:t xml:space="preserve"> </w:t>
      </w:r>
      <w:r w:rsidRPr="006762D8">
        <w:rPr>
          <w:rFonts w:ascii="Arial" w:hAnsi="Arial" w:cs="Arial"/>
        </w:rPr>
        <w:t>fulfilled.</w:t>
      </w:r>
    </w:p>
    <w:p w14:paraId="3737CBBF" w14:textId="300B684B" w:rsidR="00193B85" w:rsidRDefault="005252FE" w:rsidP="007E39F0">
      <w:pPr>
        <w:pStyle w:val="ListParagraph"/>
        <w:numPr>
          <w:ilvl w:val="1"/>
          <w:numId w:val="3"/>
        </w:numPr>
        <w:tabs>
          <w:tab w:val="left" w:pos="867"/>
        </w:tabs>
        <w:spacing w:before="152"/>
        <w:ind w:left="866" w:right="99" w:hanging="720"/>
        <w:rPr>
          <w:rFonts w:ascii="Arial" w:hAnsi="Arial" w:cs="Arial"/>
        </w:rPr>
      </w:pPr>
      <w:r>
        <w:rPr>
          <w:rFonts w:ascii="Arial" w:hAnsi="Arial" w:cs="Arial"/>
        </w:rPr>
        <w:t>Either t</w:t>
      </w:r>
      <w:r w:rsidR="00D96639" w:rsidRPr="006762D8">
        <w:rPr>
          <w:rFonts w:ascii="Arial" w:hAnsi="Arial" w:cs="Arial"/>
        </w:rPr>
        <w:t>hrough the Chair of the Board</w:t>
      </w:r>
      <w:r>
        <w:rPr>
          <w:rFonts w:ascii="Arial" w:hAnsi="Arial" w:cs="Arial"/>
        </w:rPr>
        <w:t xml:space="preserve"> or the Committee Chair</w:t>
      </w:r>
      <w:r w:rsidR="00D96639" w:rsidRPr="006762D8">
        <w:rPr>
          <w:rFonts w:ascii="Arial" w:hAnsi="Arial" w:cs="Arial"/>
        </w:rPr>
        <w:t xml:space="preserve">, </w:t>
      </w:r>
      <w:r w:rsidR="00CE3529" w:rsidRPr="006762D8">
        <w:rPr>
          <w:rFonts w:ascii="Arial" w:hAnsi="Arial" w:cs="Arial"/>
        </w:rPr>
        <w:t xml:space="preserve">the Committee shall </w:t>
      </w:r>
      <w:r w:rsidR="00D96639" w:rsidRPr="006762D8">
        <w:rPr>
          <w:rFonts w:ascii="Arial" w:hAnsi="Arial" w:cs="Arial"/>
        </w:rPr>
        <w:t>ensure that the Board maintains contact as required with its principal shareholders about</w:t>
      </w:r>
      <w:r w:rsidR="00D96639" w:rsidRPr="006762D8">
        <w:rPr>
          <w:rFonts w:ascii="Arial" w:hAnsi="Arial" w:cs="Arial"/>
          <w:spacing w:val="-7"/>
        </w:rPr>
        <w:t xml:space="preserve"> </w:t>
      </w:r>
      <w:r w:rsidR="00D96639" w:rsidRPr="006762D8">
        <w:rPr>
          <w:rFonts w:ascii="Arial" w:hAnsi="Arial" w:cs="Arial"/>
        </w:rPr>
        <w:t>remuneration.</w:t>
      </w:r>
    </w:p>
    <w:p w14:paraId="05D05069" w14:textId="77777777" w:rsidR="00FB2551" w:rsidRPr="003601E9" w:rsidRDefault="00FB2551" w:rsidP="003601E9">
      <w:pPr>
        <w:tabs>
          <w:tab w:val="left" w:pos="867"/>
        </w:tabs>
        <w:spacing w:before="152"/>
        <w:ind w:left="146" w:right="99"/>
        <w:rPr>
          <w:rFonts w:ascii="Arial" w:hAnsi="Arial" w:cs="Arial"/>
        </w:rPr>
      </w:pPr>
    </w:p>
    <w:p w14:paraId="3854FEA5" w14:textId="74B67D2D" w:rsidR="00E7180A" w:rsidRPr="006762D8" w:rsidRDefault="00E7180A" w:rsidP="00E7180A">
      <w:pPr>
        <w:pStyle w:val="Heading1"/>
        <w:numPr>
          <w:ilvl w:val="0"/>
          <w:numId w:val="3"/>
        </w:numPr>
        <w:tabs>
          <w:tab w:val="left" w:pos="930"/>
        </w:tabs>
        <w:jc w:val="both"/>
        <w:rPr>
          <w:rFonts w:ascii="Arial" w:hAnsi="Arial" w:cs="Arial"/>
        </w:rPr>
      </w:pPr>
      <w:r w:rsidRPr="006762D8">
        <w:rPr>
          <w:rFonts w:ascii="Arial" w:hAnsi="Arial" w:cs="Arial"/>
        </w:rPr>
        <w:t>Authority</w:t>
      </w:r>
    </w:p>
    <w:p w14:paraId="56F37915" w14:textId="77777777" w:rsidR="00E7180A" w:rsidRPr="006762D8" w:rsidRDefault="00E7180A" w:rsidP="007E39F0">
      <w:pPr>
        <w:pStyle w:val="Heading1"/>
        <w:tabs>
          <w:tab w:val="left" w:pos="930"/>
        </w:tabs>
        <w:ind w:left="0"/>
        <w:jc w:val="both"/>
        <w:rPr>
          <w:rFonts w:ascii="Arial" w:hAnsi="Arial" w:cs="Arial"/>
        </w:rPr>
      </w:pPr>
    </w:p>
    <w:p w14:paraId="03791AEA" w14:textId="3DA8FEFB" w:rsidR="00664EAF" w:rsidRPr="008D5173" w:rsidRDefault="00D96639" w:rsidP="008D5173">
      <w:pPr>
        <w:pStyle w:val="ListParagraph"/>
        <w:tabs>
          <w:tab w:val="left" w:pos="867"/>
        </w:tabs>
        <w:spacing w:line="239" w:lineRule="exact"/>
        <w:ind w:left="867" w:right="99" w:hanging="725"/>
        <w:rPr>
          <w:rFonts w:ascii="Arial" w:hAnsi="Arial" w:cs="Arial"/>
        </w:rPr>
      </w:pPr>
      <w:r w:rsidRPr="006762D8">
        <w:rPr>
          <w:rFonts w:ascii="Arial" w:hAnsi="Arial" w:cs="Arial"/>
        </w:rPr>
        <w:t>The</w:t>
      </w:r>
      <w:r w:rsidRPr="006762D8">
        <w:rPr>
          <w:rFonts w:ascii="Arial" w:hAnsi="Arial" w:cs="Arial"/>
          <w:spacing w:val="35"/>
        </w:rPr>
        <w:t xml:space="preserve"> </w:t>
      </w:r>
      <w:r w:rsidRPr="006762D8">
        <w:rPr>
          <w:rFonts w:ascii="Arial" w:hAnsi="Arial" w:cs="Arial"/>
        </w:rPr>
        <w:t>Committee</w:t>
      </w:r>
      <w:r w:rsidRPr="006762D8">
        <w:rPr>
          <w:rFonts w:ascii="Arial" w:hAnsi="Arial" w:cs="Arial"/>
          <w:spacing w:val="35"/>
        </w:rPr>
        <w:t xml:space="preserve"> </w:t>
      </w:r>
      <w:r w:rsidRPr="006762D8">
        <w:rPr>
          <w:rFonts w:ascii="Arial" w:hAnsi="Arial" w:cs="Arial"/>
        </w:rPr>
        <w:t>is</w:t>
      </w:r>
      <w:r w:rsidRPr="006762D8">
        <w:rPr>
          <w:rFonts w:ascii="Arial" w:hAnsi="Arial" w:cs="Arial"/>
          <w:spacing w:val="35"/>
        </w:rPr>
        <w:t xml:space="preserve"> </w:t>
      </w:r>
      <w:r w:rsidRPr="006762D8">
        <w:rPr>
          <w:rFonts w:ascii="Arial" w:hAnsi="Arial" w:cs="Arial"/>
        </w:rPr>
        <w:t>authorised</w:t>
      </w:r>
      <w:r w:rsidR="00664EAF">
        <w:rPr>
          <w:rFonts w:ascii="Arial" w:hAnsi="Arial" w:cs="Arial"/>
          <w:spacing w:val="35"/>
        </w:rPr>
        <w:t>:</w:t>
      </w:r>
    </w:p>
    <w:p w14:paraId="0421BFC2" w14:textId="5907852C" w:rsidR="00193B85" w:rsidRPr="0004413B" w:rsidRDefault="00D96639" w:rsidP="0004413B">
      <w:pPr>
        <w:pStyle w:val="ListParagraph"/>
        <w:numPr>
          <w:ilvl w:val="1"/>
          <w:numId w:val="3"/>
        </w:numPr>
        <w:tabs>
          <w:tab w:val="left" w:pos="867"/>
        </w:tabs>
        <w:spacing w:before="120" w:line="239" w:lineRule="exact"/>
        <w:ind w:right="99"/>
        <w:rPr>
          <w:rFonts w:ascii="Arial" w:hAnsi="Arial" w:cs="Arial"/>
        </w:rPr>
      </w:pPr>
      <w:r w:rsidRPr="0004413B">
        <w:rPr>
          <w:rFonts w:ascii="Arial" w:hAnsi="Arial" w:cs="Arial"/>
        </w:rPr>
        <w:t>to</w:t>
      </w:r>
      <w:r w:rsidRPr="0004413B">
        <w:rPr>
          <w:rFonts w:ascii="Arial" w:hAnsi="Arial" w:cs="Arial"/>
          <w:spacing w:val="33"/>
        </w:rPr>
        <w:t xml:space="preserve"> </w:t>
      </w:r>
      <w:r w:rsidRPr="0004413B">
        <w:rPr>
          <w:rFonts w:ascii="Arial" w:hAnsi="Arial" w:cs="Arial"/>
        </w:rPr>
        <w:t>investigate</w:t>
      </w:r>
      <w:r w:rsidRPr="0004413B">
        <w:rPr>
          <w:rFonts w:ascii="Arial" w:hAnsi="Arial" w:cs="Arial"/>
          <w:spacing w:val="35"/>
        </w:rPr>
        <w:t xml:space="preserve"> </w:t>
      </w:r>
      <w:r w:rsidRPr="0004413B">
        <w:rPr>
          <w:rFonts w:ascii="Arial" w:hAnsi="Arial" w:cs="Arial"/>
        </w:rPr>
        <w:t>any</w:t>
      </w:r>
      <w:r w:rsidRPr="0004413B">
        <w:rPr>
          <w:rFonts w:ascii="Arial" w:hAnsi="Arial" w:cs="Arial"/>
          <w:spacing w:val="34"/>
        </w:rPr>
        <w:t xml:space="preserve"> </w:t>
      </w:r>
      <w:r w:rsidRPr="0004413B">
        <w:rPr>
          <w:rFonts w:ascii="Arial" w:hAnsi="Arial" w:cs="Arial"/>
        </w:rPr>
        <w:t>activity</w:t>
      </w:r>
      <w:r w:rsidRPr="0004413B">
        <w:rPr>
          <w:rFonts w:ascii="Arial" w:hAnsi="Arial" w:cs="Arial"/>
          <w:spacing w:val="33"/>
        </w:rPr>
        <w:t xml:space="preserve"> </w:t>
      </w:r>
      <w:r w:rsidRPr="0004413B">
        <w:rPr>
          <w:rFonts w:ascii="Arial" w:hAnsi="Arial" w:cs="Arial"/>
        </w:rPr>
        <w:t>within</w:t>
      </w:r>
      <w:r w:rsidRPr="0004413B">
        <w:rPr>
          <w:rFonts w:ascii="Arial" w:hAnsi="Arial" w:cs="Arial"/>
          <w:spacing w:val="35"/>
        </w:rPr>
        <w:t xml:space="preserve"> </w:t>
      </w:r>
      <w:r w:rsidRPr="0004413B">
        <w:rPr>
          <w:rFonts w:ascii="Arial" w:hAnsi="Arial" w:cs="Arial"/>
        </w:rPr>
        <w:t>its</w:t>
      </w:r>
      <w:r w:rsidRPr="0004413B">
        <w:rPr>
          <w:rFonts w:ascii="Arial" w:hAnsi="Arial" w:cs="Arial"/>
          <w:spacing w:val="35"/>
        </w:rPr>
        <w:t xml:space="preserve"> </w:t>
      </w:r>
      <w:r w:rsidRPr="0004413B">
        <w:rPr>
          <w:rFonts w:ascii="Arial" w:hAnsi="Arial" w:cs="Arial"/>
        </w:rPr>
        <w:t>terms</w:t>
      </w:r>
      <w:r w:rsidRPr="0004413B">
        <w:rPr>
          <w:rFonts w:ascii="Arial" w:hAnsi="Arial" w:cs="Arial"/>
          <w:spacing w:val="35"/>
        </w:rPr>
        <w:t xml:space="preserve"> </w:t>
      </w:r>
      <w:r w:rsidRPr="0004413B">
        <w:rPr>
          <w:rFonts w:ascii="Arial" w:hAnsi="Arial" w:cs="Arial"/>
        </w:rPr>
        <w:t>of</w:t>
      </w:r>
      <w:r w:rsidR="003F03C9" w:rsidRPr="0004413B">
        <w:rPr>
          <w:rFonts w:ascii="Arial" w:hAnsi="Arial" w:cs="Arial"/>
        </w:rPr>
        <w:t xml:space="preserve"> </w:t>
      </w:r>
      <w:r w:rsidRPr="0004413B">
        <w:rPr>
          <w:rFonts w:ascii="Arial" w:hAnsi="Arial" w:cs="Arial"/>
        </w:rPr>
        <w:t xml:space="preserve">reference and to seek any information it requires from any employee of </w:t>
      </w:r>
      <w:r w:rsidR="00664EAF" w:rsidRPr="0004413B">
        <w:rPr>
          <w:rFonts w:ascii="Arial" w:hAnsi="Arial" w:cs="Arial"/>
        </w:rPr>
        <w:t>IG G</w:t>
      </w:r>
      <w:r w:rsidRPr="0004413B">
        <w:rPr>
          <w:rFonts w:ascii="Arial" w:hAnsi="Arial" w:cs="Arial"/>
        </w:rPr>
        <w:t xml:space="preserve">roup in order to perform its duties. The Committee shall have access to all records of the </w:t>
      </w:r>
      <w:r w:rsidR="00EA4535" w:rsidRPr="0004413B">
        <w:rPr>
          <w:rFonts w:ascii="Arial" w:hAnsi="Arial" w:cs="Arial"/>
        </w:rPr>
        <w:t>C</w:t>
      </w:r>
      <w:r w:rsidRPr="0004413B">
        <w:rPr>
          <w:rFonts w:ascii="Arial" w:hAnsi="Arial" w:cs="Arial"/>
        </w:rPr>
        <w:t xml:space="preserve">ompany and any </w:t>
      </w:r>
      <w:r w:rsidR="00E97245" w:rsidRPr="0004413B">
        <w:rPr>
          <w:rFonts w:ascii="Arial" w:hAnsi="Arial" w:cs="Arial"/>
        </w:rPr>
        <w:t xml:space="preserve">relevant </w:t>
      </w:r>
      <w:r w:rsidRPr="0004413B">
        <w:rPr>
          <w:rFonts w:ascii="Arial" w:hAnsi="Arial" w:cs="Arial"/>
        </w:rPr>
        <w:t>internal or external reports</w:t>
      </w:r>
      <w:r w:rsidR="00664EAF" w:rsidRPr="0004413B">
        <w:rPr>
          <w:rFonts w:ascii="Arial" w:hAnsi="Arial" w:cs="Arial"/>
        </w:rPr>
        <w:t>;</w:t>
      </w:r>
    </w:p>
    <w:p w14:paraId="65A3643E" w14:textId="73257582" w:rsidR="00664EAF" w:rsidRPr="008D5173" w:rsidRDefault="00D96639" w:rsidP="0004413B">
      <w:pPr>
        <w:pStyle w:val="ListParagraph"/>
        <w:numPr>
          <w:ilvl w:val="1"/>
          <w:numId w:val="3"/>
        </w:numPr>
        <w:tabs>
          <w:tab w:val="left" w:pos="867"/>
        </w:tabs>
        <w:spacing w:before="120" w:line="239" w:lineRule="exact"/>
        <w:ind w:right="99"/>
        <w:rPr>
          <w:rFonts w:ascii="Arial" w:hAnsi="Arial" w:cs="Arial"/>
        </w:rPr>
      </w:pPr>
      <w:r w:rsidRPr="006762D8">
        <w:rPr>
          <w:rFonts w:ascii="Arial" w:hAnsi="Arial" w:cs="Arial"/>
        </w:rPr>
        <w:t>to obtain, at the Company's expense, outside legal or other</w:t>
      </w:r>
      <w:r w:rsidR="00664EAF">
        <w:rPr>
          <w:rFonts w:ascii="Arial" w:hAnsi="Arial" w:cs="Arial"/>
        </w:rPr>
        <w:t xml:space="preserve"> independent</w:t>
      </w:r>
      <w:r w:rsidRPr="006762D8">
        <w:rPr>
          <w:rFonts w:ascii="Arial" w:hAnsi="Arial" w:cs="Arial"/>
        </w:rPr>
        <w:t xml:space="preserve"> professional</w:t>
      </w:r>
      <w:r w:rsidRPr="0004413B">
        <w:rPr>
          <w:rFonts w:ascii="Arial" w:hAnsi="Arial" w:cs="Arial"/>
        </w:rPr>
        <w:t xml:space="preserve"> </w:t>
      </w:r>
      <w:r w:rsidRPr="006762D8">
        <w:rPr>
          <w:rFonts w:ascii="Arial" w:hAnsi="Arial" w:cs="Arial"/>
        </w:rPr>
        <w:t>advice</w:t>
      </w:r>
      <w:r w:rsidR="00664EAF">
        <w:rPr>
          <w:rFonts w:ascii="Arial" w:hAnsi="Arial" w:cs="Arial"/>
        </w:rPr>
        <w:t xml:space="preserve"> on any matter within its terms of reference;</w:t>
      </w:r>
    </w:p>
    <w:p w14:paraId="55D96CD1" w14:textId="745221B2" w:rsidR="00664EAF" w:rsidRPr="008D5173" w:rsidRDefault="00664EAF" w:rsidP="0004413B">
      <w:pPr>
        <w:pStyle w:val="ListParagraph"/>
        <w:numPr>
          <w:ilvl w:val="1"/>
          <w:numId w:val="3"/>
        </w:numPr>
        <w:tabs>
          <w:tab w:val="left" w:pos="867"/>
        </w:tabs>
        <w:spacing w:before="120" w:line="239" w:lineRule="exact"/>
        <w:ind w:right="99"/>
        <w:rPr>
          <w:rFonts w:ascii="Arial" w:hAnsi="Arial" w:cs="Arial"/>
        </w:rPr>
      </w:pPr>
      <w:r w:rsidRPr="00664EAF">
        <w:rPr>
          <w:rFonts w:ascii="Arial" w:hAnsi="Arial" w:cs="Arial"/>
        </w:rPr>
        <w:t>to call any employee to be questioned at a meeting of the Committee as and when required; and</w:t>
      </w:r>
    </w:p>
    <w:p w14:paraId="6FCFC5C5" w14:textId="06CA9753" w:rsidR="00193B85" w:rsidRPr="003F03C9" w:rsidRDefault="00D96639" w:rsidP="0004413B">
      <w:pPr>
        <w:pStyle w:val="ListParagraph"/>
        <w:numPr>
          <w:ilvl w:val="1"/>
          <w:numId w:val="3"/>
        </w:numPr>
        <w:tabs>
          <w:tab w:val="left" w:pos="867"/>
        </w:tabs>
        <w:spacing w:before="120" w:line="239" w:lineRule="exact"/>
        <w:ind w:right="99"/>
        <w:rPr>
          <w:rFonts w:ascii="Arial" w:hAnsi="Arial" w:cs="Arial"/>
        </w:rPr>
      </w:pPr>
      <w:r w:rsidRPr="006762D8">
        <w:rPr>
          <w:rFonts w:ascii="Arial" w:hAnsi="Arial" w:cs="Arial"/>
        </w:rPr>
        <w:t>to</w:t>
      </w:r>
      <w:r w:rsidRPr="0004413B">
        <w:rPr>
          <w:rFonts w:ascii="Arial" w:hAnsi="Arial" w:cs="Arial"/>
        </w:rPr>
        <w:t xml:space="preserve"> </w:t>
      </w:r>
      <w:r w:rsidRPr="006762D8">
        <w:rPr>
          <w:rFonts w:ascii="Arial" w:hAnsi="Arial" w:cs="Arial"/>
        </w:rPr>
        <w:t>publish</w:t>
      </w:r>
      <w:r w:rsidRPr="0004413B">
        <w:rPr>
          <w:rFonts w:ascii="Arial" w:hAnsi="Arial" w:cs="Arial"/>
        </w:rPr>
        <w:t xml:space="preserve"> </w:t>
      </w:r>
      <w:r w:rsidRPr="006762D8">
        <w:rPr>
          <w:rFonts w:ascii="Arial" w:hAnsi="Arial" w:cs="Arial"/>
        </w:rPr>
        <w:t>in</w:t>
      </w:r>
      <w:r w:rsidRPr="0004413B">
        <w:rPr>
          <w:rFonts w:ascii="Arial" w:hAnsi="Arial" w:cs="Arial"/>
        </w:rPr>
        <w:t xml:space="preserve"> </w:t>
      </w:r>
      <w:r w:rsidRPr="006762D8">
        <w:rPr>
          <w:rFonts w:ascii="Arial" w:hAnsi="Arial" w:cs="Arial"/>
        </w:rPr>
        <w:t>the</w:t>
      </w:r>
      <w:r w:rsidRPr="0004413B">
        <w:rPr>
          <w:rFonts w:ascii="Arial" w:hAnsi="Arial" w:cs="Arial"/>
        </w:rPr>
        <w:t xml:space="preserve"> </w:t>
      </w:r>
      <w:r w:rsidRPr="006762D8">
        <w:rPr>
          <w:rFonts w:ascii="Arial" w:hAnsi="Arial" w:cs="Arial"/>
        </w:rPr>
        <w:t>Company’s</w:t>
      </w:r>
      <w:r w:rsidRPr="0004413B">
        <w:rPr>
          <w:rFonts w:ascii="Arial" w:hAnsi="Arial" w:cs="Arial"/>
        </w:rPr>
        <w:t xml:space="preserve"> </w:t>
      </w:r>
      <w:r w:rsidR="00664EAF">
        <w:rPr>
          <w:rFonts w:ascii="Arial" w:hAnsi="Arial" w:cs="Arial"/>
        </w:rPr>
        <w:t>A</w:t>
      </w:r>
      <w:r w:rsidRPr="006762D8">
        <w:rPr>
          <w:rFonts w:ascii="Arial" w:hAnsi="Arial" w:cs="Arial"/>
        </w:rPr>
        <w:t>nnual</w:t>
      </w:r>
      <w:r w:rsidRPr="0004413B">
        <w:rPr>
          <w:rFonts w:ascii="Arial" w:hAnsi="Arial" w:cs="Arial"/>
        </w:rPr>
        <w:t xml:space="preserve"> </w:t>
      </w:r>
      <w:r w:rsidR="00664EAF">
        <w:rPr>
          <w:rFonts w:ascii="Arial" w:hAnsi="Arial" w:cs="Arial"/>
        </w:rPr>
        <w:t>R</w:t>
      </w:r>
      <w:r w:rsidRPr="006762D8">
        <w:rPr>
          <w:rFonts w:ascii="Arial" w:hAnsi="Arial" w:cs="Arial"/>
        </w:rPr>
        <w:t>eport</w:t>
      </w:r>
      <w:r w:rsidRPr="0004413B">
        <w:rPr>
          <w:rFonts w:ascii="Arial" w:hAnsi="Arial" w:cs="Arial"/>
        </w:rPr>
        <w:t xml:space="preserve"> </w:t>
      </w:r>
      <w:r w:rsidRPr="006762D8">
        <w:rPr>
          <w:rFonts w:ascii="Arial" w:hAnsi="Arial" w:cs="Arial"/>
        </w:rPr>
        <w:t>details</w:t>
      </w:r>
      <w:r w:rsidRPr="0004413B">
        <w:rPr>
          <w:rFonts w:ascii="Arial" w:hAnsi="Arial" w:cs="Arial"/>
        </w:rPr>
        <w:t xml:space="preserve"> </w:t>
      </w:r>
      <w:r w:rsidRPr="006762D8">
        <w:rPr>
          <w:rFonts w:ascii="Arial" w:hAnsi="Arial" w:cs="Arial"/>
        </w:rPr>
        <w:t>of</w:t>
      </w:r>
      <w:r w:rsidRPr="0004413B">
        <w:rPr>
          <w:rFonts w:ascii="Arial" w:hAnsi="Arial" w:cs="Arial"/>
        </w:rPr>
        <w:t xml:space="preserve"> </w:t>
      </w:r>
      <w:r w:rsidRPr="006762D8">
        <w:rPr>
          <w:rFonts w:ascii="Arial" w:hAnsi="Arial" w:cs="Arial"/>
        </w:rPr>
        <w:t>any</w:t>
      </w:r>
      <w:r w:rsidR="003F03C9">
        <w:rPr>
          <w:rFonts w:ascii="Arial" w:hAnsi="Arial" w:cs="Arial"/>
        </w:rPr>
        <w:t xml:space="preserve"> </w:t>
      </w:r>
      <w:r w:rsidRPr="003F03C9">
        <w:rPr>
          <w:rFonts w:ascii="Arial" w:hAnsi="Arial" w:cs="Arial"/>
        </w:rPr>
        <w:t>issues that cannot be resolved between the Committee and the Board.</w:t>
      </w:r>
    </w:p>
    <w:p w14:paraId="10E319D8" w14:textId="77777777" w:rsidR="00193B85" w:rsidRPr="006762D8" w:rsidRDefault="00193B85">
      <w:pPr>
        <w:pStyle w:val="BodyText"/>
        <w:spacing w:before="8"/>
        <w:rPr>
          <w:rFonts w:ascii="Arial" w:hAnsi="Arial" w:cs="Arial"/>
          <w:sz w:val="32"/>
        </w:rPr>
      </w:pPr>
    </w:p>
    <w:p w14:paraId="3F32D411" w14:textId="2C030469" w:rsidR="00193B85" w:rsidRPr="007E39F0" w:rsidRDefault="00D96639" w:rsidP="008D5173">
      <w:pPr>
        <w:pStyle w:val="Heading1"/>
        <w:numPr>
          <w:ilvl w:val="0"/>
          <w:numId w:val="3"/>
        </w:numPr>
        <w:tabs>
          <w:tab w:val="left" w:pos="930"/>
        </w:tabs>
        <w:ind w:hanging="724"/>
        <w:jc w:val="both"/>
        <w:rPr>
          <w:rFonts w:ascii="Arial" w:hAnsi="Arial" w:cs="Arial"/>
          <w:sz w:val="32"/>
        </w:rPr>
      </w:pPr>
      <w:r w:rsidRPr="006762D8">
        <w:rPr>
          <w:rFonts w:ascii="Arial" w:hAnsi="Arial" w:cs="Arial"/>
        </w:rPr>
        <w:t>Other</w:t>
      </w:r>
      <w:r w:rsidR="00BF7D40">
        <w:rPr>
          <w:rFonts w:ascii="Arial" w:hAnsi="Arial" w:cs="Arial"/>
        </w:rPr>
        <w:t xml:space="preserve"> Matters</w:t>
      </w:r>
    </w:p>
    <w:p w14:paraId="1BFE6DEA" w14:textId="77777777" w:rsidR="00193B85" w:rsidRPr="006762D8" w:rsidRDefault="00D96639" w:rsidP="008D5173">
      <w:pPr>
        <w:pStyle w:val="BodyText"/>
        <w:spacing w:before="120"/>
        <w:ind w:left="851"/>
        <w:rPr>
          <w:rFonts w:ascii="Arial" w:hAnsi="Arial" w:cs="Arial"/>
        </w:rPr>
      </w:pPr>
      <w:r w:rsidRPr="006762D8">
        <w:rPr>
          <w:rFonts w:ascii="Arial" w:hAnsi="Arial" w:cs="Arial"/>
        </w:rPr>
        <w:t>The Committee shall</w:t>
      </w:r>
      <w:r w:rsidR="00CE3529" w:rsidRPr="006762D8">
        <w:rPr>
          <w:rFonts w:ascii="Arial" w:hAnsi="Arial" w:cs="Arial"/>
        </w:rPr>
        <w:t>:</w:t>
      </w:r>
    </w:p>
    <w:p w14:paraId="2BF9816A" w14:textId="5C7964C8" w:rsidR="00BF7D40" w:rsidRPr="006762D8" w:rsidRDefault="00BF7D40" w:rsidP="008D5173">
      <w:pPr>
        <w:pStyle w:val="ListParagraph"/>
        <w:numPr>
          <w:ilvl w:val="1"/>
          <w:numId w:val="3"/>
        </w:numPr>
        <w:tabs>
          <w:tab w:val="left" w:pos="867"/>
        </w:tabs>
        <w:spacing w:before="120"/>
        <w:ind w:left="867" w:right="96" w:hanging="720"/>
        <w:rPr>
          <w:rFonts w:ascii="Arial" w:hAnsi="Arial" w:cs="Arial"/>
        </w:rPr>
      </w:pPr>
      <w:r w:rsidRPr="006762D8">
        <w:rPr>
          <w:rFonts w:ascii="Arial" w:hAnsi="Arial" w:cs="Arial"/>
        </w:rPr>
        <w:t>have access to sufficient resources in order to carry out its duties including access to the Company Secretar</w:t>
      </w:r>
      <w:r>
        <w:rPr>
          <w:rFonts w:ascii="Arial" w:hAnsi="Arial" w:cs="Arial"/>
        </w:rPr>
        <w:t>y</w:t>
      </w:r>
      <w:r w:rsidRPr="006762D8">
        <w:rPr>
          <w:rFonts w:ascii="Arial" w:hAnsi="Arial" w:cs="Arial"/>
        </w:rPr>
        <w:t xml:space="preserve"> for assistance as</w:t>
      </w:r>
      <w:r w:rsidRPr="006762D8">
        <w:rPr>
          <w:rFonts w:ascii="Arial" w:hAnsi="Arial" w:cs="Arial"/>
          <w:spacing w:val="-7"/>
        </w:rPr>
        <w:t xml:space="preserve"> </w:t>
      </w:r>
      <w:r w:rsidRPr="006762D8">
        <w:rPr>
          <w:rFonts w:ascii="Arial" w:hAnsi="Arial" w:cs="Arial"/>
        </w:rPr>
        <w:t>required</w:t>
      </w:r>
      <w:r>
        <w:rPr>
          <w:rFonts w:ascii="Arial" w:hAnsi="Arial" w:cs="Arial"/>
        </w:rPr>
        <w:t>;</w:t>
      </w:r>
    </w:p>
    <w:p w14:paraId="48E99D6B" w14:textId="09CF0785" w:rsidR="00BF7D40" w:rsidRPr="006762D8" w:rsidRDefault="00BF7D40" w:rsidP="008D5173">
      <w:pPr>
        <w:pStyle w:val="ListParagraph"/>
        <w:numPr>
          <w:ilvl w:val="1"/>
          <w:numId w:val="3"/>
        </w:numPr>
        <w:tabs>
          <w:tab w:val="left" w:pos="867"/>
        </w:tabs>
        <w:spacing w:before="120"/>
        <w:ind w:left="867" w:right="96" w:hanging="720"/>
        <w:rPr>
          <w:rFonts w:ascii="Arial" w:hAnsi="Arial" w:cs="Arial"/>
        </w:rPr>
      </w:pPr>
      <w:r w:rsidRPr="006762D8">
        <w:rPr>
          <w:rFonts w:ascii="Arial" w:hAnsi="Arial" w:cs="Arial"/>
        </w:rPr>
        <w:t>be provided with appropriate and timely training</w:t>
      </w:r>
      <w:r w:rsidR="00525341">
        <w:rPr>
          <w:rFonts w:ascii="Arial" w:hAnsi="Arial" w:cs="Arial"/>
        </w:rPr>
        <w:t>, both in the form of an induction and</w:t>
      </w:r>
      <w:r>
        <w:rPr>
          <w:rFonts w:ascii="Arial" w:hAnsi="Arial" w:cs="Arial"/>
        </w:rPr>
        <w:t xml:space="preserve"> on an ongoing basis for all members</w:t>
      </w:r>
      <w:r w:rsidR="00A852A2">
        <w:rPr>
          <w:rFonts w:ascii="Arial" w:hAnsi="Arial" w:cs="Arial"/>
        </w:rPr>
        <w:t>;</w:t>
      </w:r>
      <w:r>
        <w:rPr>
          <w:rFonts w:ascii="Arial" w:hAnsi="Arial" w:cs="Arial"/>
        </w:rPr>
        <w:t xml:space="preserve"> </w:t>
      </w:r>
    </w:p>
    <w:p w14:paraId="708AE92A" w14:textId="735F68B3" w:rsidR="002346B4" w:rsidRPr="008D5173" w:rsidRDefault="00BF7D40" w:rsidP="008D5173">
      <w:pPr>
        <w:pStyle w:val="ListParagraph"/>
        <w:numPr>
          <w:ilvl w:val="1"/>
          <w:numId w:val="3"/>
        </w:numPr>
        <w:tabs>
          <w:tab w:val="left" w:pos="867"/>
        </w:tabs>
        <w:spacing w:before="120"/>
        <w:ind w:left="867" w:right="96" w:hanging="720"/>
        <w:rPr>
          <w:rFonts w:ascii="Arial" w:hAnsi="Arial" w:cs="Arial"/>
          <w:sz w:val="23"/>
        </w:rPr>
      </w:pPr>
      <w:r>
        <w:rPr>
          <w:rFonts w:ascii="Arial" w:hAnsi="Arial" w:cs="Arial"/>
        </w:rPr>
        <w:t>g</w:t>
      </w:r>
      <w:r w:rsidR="00D96639" w:rsidRPr="006762D8">
        <w:rPr>
          <w:rFonts w:ascii="Arial" w:hAnsi="Arial" w:cs="Arial"/>
        </w:rPr>
        <w:t>ive due consideration to</w:t>
      </w:r>
      <w:r>
        <w:rPr>
          <w:rFonts w:ascii="Arial" w:hAnsi="Arial" w:cs="Arial"/>
        </w:rPr>
        <w:t xml:space="preserve"> all applicable</w:t>
      </w:r>
      <w:r w:rsidR="00D96639" w:rsidRPr="006762D8">
        <w:rPr>
          <w:rFonts w:ascii="Arial" w:hAnsi="Arial" w:cs="Arial"/>
        </w:rPr>
        <w:t xml:space="preserve"> laws</w:t>
      </w:r>
      <w:r>
        <w:rPr>
          <w:rFonts w:ascii="Arial" w:hAnsi="Arial" w:cs="Arial"/>
        </w:rPr>
        <w:t xml:space="preserve"> and</w:t>
      </w:r>
      <w:r w:rsidR="00D96639" w:rsidRPr="006762D8">
        <w:rPr>
          <w:rFonts w:ascii="Arial" w:hAnsi="Arial" w:cs="Arial"/>
        </w:rPr>
        <w:t xml:space="preserve"> regulations and any published guidelines or recommendations regarding the remuneration of directors</w:t>
      </w:r>
      <w:r w:rsidR="007B4FEB">
        <w:rPr>
          <w:rFonts w:ascii="Arial" w:hAnsi="Arial" w:cs="Arial"/>
        </w:rPr>
        <w:t>,</w:t>
      </w:r>
      <w:r w:rsidR="00D96639" w:rsidRPr="006762D8">
        <w:rPr>
          <w:rFonts w:ascii="Arial" w:hAnsi="Arial" w:cs="Arial"/>
        </w:rPr>
        <w:t xml:space="preserve"> including but not limited to </w:t>
      </w:r>
      <w:r>
        <w:rPr>
          <w:rFonts w:ascii="Arial" w:hAnsi="Arial" w:cs="Arial"/>
        </w:rPr>
        <w:t xml:space="preserve">the Companies Act 2006, the </w:t>
      </w:r>
      <w:r w:rsidR="00D96639" w:rsidRPr="006762D8">
        <w:rPr>
          <w:rFonts w:ascii="Arial" w:hAnsi="Arial" w:cs="Arial"/>
        </w:rPr>
        <w:t>UK Corporate Governance Code</w:t>
      </w:r>
      <w:r w:rsidR="007B4FEB">
        <w:rPr>
          <w:rFonts w:ascii="Arial" w:hAnsi="Arial" w:cs="Arial"/>
        </w:rPr>
        <w:t xml:space="preserve"> and </w:t>
      </w:r>
      <w:r w:rsidR="00D96639" w:rsidRPr="006762D8">
        <w:rPr>
          <w:rFonts w:ascii="Arial" w:hAnsi="Arial" w:cs="Arial"/>
        </w:rPr>
        <w:t xml:space="preserve">the requirements of the Listing Rules, </w:t>
      </w:r>
      <w:r w:rsidR="007B4FEB" w:rsidRPr="006762D8">
        <w:rPr>
          <w:rFonts w:ascii="Arial" w:hAnsi="Arial" w:cs="Arial"/>
        </w:rPr>
        <w:t xml:space="preserve">Prospectus Rules </w:t>
      </w:r>
      <w:r w:rsidR="00D96639" w:rsidRPr="006762D8">
        <w:rPr>
          <w:rFonts w:ascii="Arial" w:hAnsi="Arial" w:cs="Arial"/>
        </w:rPr>
        <w:t>and the Disclosure Guidance and Transparency Rules</w:t>
      </w:r>
      <w:r w:rsidR="007B4FEB">
        <w:rPr>
          <w:rFonts w:ascii="Arial" w:hAnsi="Arial" w:cs="Arial"/>
        </w:rPr>
        <w:t xml:space="preserve"> published by </w:t>
      </w:r>
      <w:r w:rsidR="007B4FEB" w:rsidRPr="006762D8">
        <w:rPr>
          <w:rFonts w:ascii="Arial" w:hAnsi="Arial" w:cs="Arial"/>
        </w:rPr>
        <w:t>the Financial Conduct Authority</w:t>
      </w:r>
      <w:r w:rsidR="00D96639" w:rsidRPr="006762D8">
        <w:rPr>
          <w:rFonts w:ascii="Arial" w:hAnsi="Arial" w:cs="Arial"/>
        </w:rPr>
        <w:t>, as well as guidelines published by shareholder voting agencies</w:t>
      </w:r>
      <w:r w:rsidR="007B4FEB">
        <w:rPr>
          <w:rFonts w:ascii="Arial" w:hAnsi="Arial" w:cs="Arial"/>
        </w:rPr>
        <w:t xml:space="preserve"> and any other applicable rules</w:t>
      </w:r>
      <w:r w:rsidR="001933BE">
        <w:rPr>
          <w:rFonts w:ascii="Arial" w:hAnsi="Arial" w:cs="Arial"/>
        </w:rPr>
        <w:t>,</w:t>
      </w:r>
      <w:r w:rsidR="007B4FEB">
        <w:rPr>
          <w:rFonts w:ascii="Arial" w:hAnsi="Arial" w:cs="Arial"/>
        </w:rPr>
        <w:t xml:space="preserve"> as appropriate</w:t>
      </w:r>
      <w:r w:rsidR="00167976" w:rsidRPr="006762D8">
        <w:rPr>
          <w:rFonts w:ascii="Arial" w:hAnsi="Arial" w:cs="Arial"/>
        </w:rPr>
        <w:t>;</w:t>
      </w:r>
    </w:p>
    <w:p w14:paraId="19EA52F8" w14:textId="4B1F6525" w:rsidR="002346B4" w:rsidRDefault="002346B4" w:rsidP="008D5173">
      <w:pPr>
        <w:pStyle w:val="ListParagraph"/>
        <w:numPr>
          <w:ilvl w:val="1"/>
          <w:numId w:val="3"/>
        </w:numPr>
        <w:spacing w:before="120"/>
        <w:rPr>
          <w:rFonts w:ascii="Arial" w:hAnsi="Arial" w:cs="Arial"/>
        </w:rPr>
      </w:pPr>
      <w:r w:rsidRPr="008D5173">
        <w:rPr>
          <w:rFonts w:ascii="Arial" w:hAnsi="Arial" w:cs="Arial"/>
        </w:rPr>
        <w:t xml:space="preserve">monitor the progress of any relevant corporate governance or regulatory developments that may impact the Committee and recommend any action or changes </w:t>
      </w:r>
      <w:r w:rsidRPr="008D5173">
        <w:rPr>
          <w:rFonts w:ascii="Arial" w:hAnsi="Arial" w:cs="Arial"/>
        </w:rPr>
        <w:lastRenderedPageBreak/>
        <w:t>it considers necessary to the Board for approval;</w:t>
      </w:r>
    </w:p>
    <w:p w14:paraId="40A6125E" w14:textId="77777777" w:rsidR="004072A3" w:rsidRDefault="004072A3" w:rsidP="004072A3">
      <w:pPr>
        <w:pStyle w:val="ListParagraph"/>
        <w:spacing w:before="120"/>
        <w:ind w:left="854" w:firstLine="0"/>
        <w:rPr>
          <w:rFonts w:ascii="Arial" w:hAnsi="Arial" w:cs="Arial"/>
        </w:rPr>
      </w:pPr>
    </w:p>
    <w:p w14:paraId="43EDAD54" w14:textId="76EF0098" w:rsidR="004072A3" w:rsidRDefault="00A16322" w:rsidP="004072A3">
      <w:pPr>
        <w:pStyle w:val="ListParagraph"/>
        <w:numPr>
          <w:ilvl w:val="1"/>
          <w:numId w:val="3"/>
        </w:numPr>
        <w:tabs>
          <w:tab w:val="left" w:pos="747"/>
        </w:tabs>
        <w:rPr>
          <w:rFonts w:ascii="Arial" w:hAnsi="Arial" w:cs="Arial"/>
        </w:rPr>
      </w:pPr>
      <w:r>
        <w:rPr>
          <w:rFonts w:ascii="Arial" w:hAnsi="Arial" w:cs="Arial"/>
        </w:rPr>
        <w:t xml:space="preserve">  </w:t>
      </w:r>
      <w:r w:rsidR="004072A3" w:rsidRPr="00D00C18">
        <w:rPr>
          <w:rFonts w:ascii="Arial" w:hAnsi="Arial" w:cs="Arial"/>
        </w:rPr>
        <w:t>consider and appropriately take into account the Group’s ESG strategy and any implications of this during its discussions and decision making;</w:t>
      </w:r>
    </w:p>
    <w:p w14:paraId="6EFCFAFE" w14:textId="4071EB73" w:rsidR="002346B4" w:rsidRPr="008D5173" w:rsidRDefault="002346B4" w:rsidP="008D5173">
      <w:pPr>
        <w:pStyle w:val="ListParagraph"/>
        <w:numPr>
          <w:ilvl w:val="1"/>
          <w:numId w:val="3"/>
        </w:numPr>
        <w:spacing w:before="120"/>
        <w:rPr>
          <w:rFonts w:ascii="Arial" w:hAnsi="Arial" w:cs="Arial"/>
          <w:sz w:val="23"/>
        </w:rPr>
      </w:pPr>
      <w:r w:rsidRPr="002346B4">
        <w:rPr>
          <w:rFonts w:ascii="Arial" w:hAnsi="Arial" w:cs="Arial"/>
          <w:sz w:val="23"/>
        </w:rPr>
        <w:t>work and liaise as necessary with all other Board committees; and</w:t>
      </w:r>
    </w:p>
    <w:p w14:paraId="0853A156" w14:textId="2E407FBB" w:rsidR="002346B4" w:rsidRPr="002346B4" w:rsidRDefault="00D96639" w:rsidP="008D5173">
      <w:pPr>
        <w:pStyle w:val="ListParagraph"/>
        <w:numPr>
          <w:ilvl w:val="1"/>
          <w:numId w:val="3"/>
        </w:numPr>
        <w:spacing w:before="120"/>
        <w:rPr>
          <w:rFonts w:ascii="Arial" w:hAnsi="Arial" w:cs="Arial"/>
        </w:rPr>
      </w:pPr>
      <w:r w:rsidRPr="002346B4">
        <w:rPr>
          <w:rFonts w:ascii="Arial" w:hAnsi="Arial" w:cs="Arial"/>
        </w:rPr>
        <w:t xml:space="preserve">at least </w:t>
      </w:r>
      <w:r w:rsidR="00024FEF">
        <w:rPr>
          <w:rFonts w:ascii="Arial" w:hAnsi="Arial" w:cs="Arial"/>
        </w:rPr>
        <w:t>annually</w:t>
      </w:r>
      <w:r w:rsidRPr="002346B4">
        <w:rPr>
          <w:rFonts w:ascii="Arial" w:hAnsi="Arial" w:cs="Arial"/>
        </w:rPr>
        <w:t>, review its own performance, constitution and terms of reference to ensure it is operating at maximum effectiveness and recommend any changes it</w:t>
      </w:r>
      <w:r w:rsidRPr="002346B4">
        <w:rPr>
          <w:rFonts w:ascii="Arial" w:hAnsi="Arial" w:cs="Arial"/>
          <w:spacing w:val="-45"/>
        </w:rPr>
        <w:t xml:space="preserve"> </w:t>
      </w:r>
      <w:r w:rsidRPr="002346B4">
        <w:rPr>
          <w:rFonts w:ascii="Arial" w:hAnsi="Arial" w:cs="Arial"/>
        </w:rPr>
        <w:t>considers necessary to the Board for</w:t>
      </w:r>
      <w:r w:rsidRPr="002346B4">
        <w:rPr>
          <w:rFonts w:ascii="Arial" w:hAnsi="Arial" w:cs="Arial"/>
          <w:spacing w:val="-8"/>
        </w:rPr>
        <w:t xml:space="preserve"> </w:t>
      </w:r>
      <w:r w:rsidRPr="002346B4">
        <w:rPr>
          <w:rFonts w:ascii="Arial" w:hAnsi="Arial" w:cs="Arial"/>
        </w:rPr>
        <w:t>approval</w:t>
      </w:r>
      <w:r w:rsidR="002346B4" w:rsidRPr="002346B4">
        <w:rPr>
          <w:rFonts w:ascii="Arial" w:hAnsi="Arial" w:cs="Arial"/>
        </w:rPr>
        <w:t>. The Board shall review the Committee's effectiveness annually.</w:t>
      </w:r>
    </w:p>
    <w:p w14:paraId="52DC3727" w14:textId="2462CC63" w:rsidR="00193B85" w:rsidRDefault="00193B85" w:rsidP="00BD0564">
      <w:pPr>
        <w:tabs>
          <w:tab w:val="left" w:pos="867"/>
        </w:tabs>
        <w:spacing w:before="120"/>
        <w:ind w:right="96"/>
        <w:rPr>
          <w:rFonts w:ascii="Arial" w:hAnsi="Arial" w:cs="Arial"/>
        </w:rPr>
      </w:pPr>
    </w:p>
    <w:p w14:paraId="6DDAE63B" w14:textId="6201F1FA" w:rsidR="005717B2" w:rsidRPr="003601E9" w:rsidRDefault="005717B2" w:rsidP="003601E9">
      <w:pPr>
        <w:pStyle w:val="BodyText"/>
        <w:numPr>
          <w:ilvl w:val="0"/>
          <w:numId w:val="3"/>
        </w:numPr>
        <w:spacing w:before="120"/>
        <w:jc w:val="both"/>
        <w:rPr>
          <w:rFonts w:ascii="Arial" w:hAnsi="Arial" w:cs="Arial"/>
          <w:b/>
          <w:bCs/>
        </w:rPr>
      </w:pPr>
      <w:r w:rsidRPr="003601E9">
        <w:rPr>
          <w:rFonts w:ascii="Arial" w:hAnsi="Arial" w:cs="Arial"/>
          <w:b/>
          <w:bCs/>
        </w:rPr>
        <w:t>Definitions</w:t>
      </w:r>
    </w:p>
    <w:p w14:paraId="56CB099E" w14:textId="77777777" w:rsidR="005717B2" w:rsidRDefault="005717B2" w:rsidP="00FE4E8A">
      <w:pPr>
        <w:pStyle w:val="BodyText"/>
        <w:ind w:left="147"/>
        <w:jc w:val="both"/>
        <w:rPr>
          <w:rFonts w:ascii="Arial" w:hAnsi="Arial" w:cs="Arial"/>
        </w:rPr>
      </w:pPr>
    </w:p>
    <w:p w14:paraId="2D80F4F0" w14:textId="35F017BA" w:rsidR="00BD0564" w:rsidRPr="006762D8" w:rsidRDefault="00BD0564" w:rsidP="00BD0564">
      <w:pPr>
        <w:pStyle w:val="BodyText"/>
        <w:spacing w:before="120"/>
        <w:ind w:left="147"/>
        <w:jc w:val="both"/>
        <w:rPr>
          <w:rFonts w:ascii="Arial" w:hAnsi="Arial" w:cs="Arial"/>
        </w:rPr>
      </w:pPr>
      <w:r w:rsidRPr="006762D8">
        <w:rPr>
          <w:rFonts w:ascii="Arial" w:hAnsi="Arial" w:cs="Arial"/>
        </w:rPr>
        <w:t>Reference to 'the Board' shall mean the Board of Directors of IG Group Holdings plc.</w:t>
      </w:r>
    </w:p>
    <w:p w14:paraId="47415542" w14:textId="77777777" w:rsidR="00BD0564" w:rsidRPr="006762D8" w:rsidRDefault="00BD0564" w:rsidP="00BD0564">
      <w:pPr>
        <w:pStyle w:val="BodyText"/>
        <w:spacing w:before="120"/>
        <w:ind w:left="147"/>
        <w:jc w:val="both"/>
        <w:rPr>
          <w:rFonts w:ascii="Arial" w:hAnsi="Arial" w:cs="Arial"/>
        </w:rPr>
      </w:pPr>
      <w:r w:rsidRPr="006762D8">
        <w:rPr>
          <w:rFonts w:ascii="Arial" w:hAnsi="Arial" w:cs="Arial"/>
        </w:rPr>
        <w:t>Reference to 'the Committee' shall mean the Remuneration Committee.</w:t>
      </w:r>
    </w:p>
    <w:p w14:paraId="3070960D" w14:textId="77777777" w:rsidR="00BD0564" w:rsidRPr="006762D8" w:rsidRDefault="00BD0564" w:rsidP="00BD0564">
      <w:pPr>
        <w:pStyle w:val="BodyText"/>
        <w:spacing w:before="120"/>
        <w:ind w:left="147"/>
        <w:jc w:val="both"/>
        <w:rPr>
          <w:rFonts w:ascii="Arial" w:hAnsi="Arial" w:cs="Arial"/>
        </w:rPr>
      </w:pPr>
      <w:r w:rsidRPr="006762D8">
        <w:rPr>
          <w:rFonts w:ascii="Arial" w:hAnsi="Arial" w:cs="Arial"/>
        </w:rPr>
        <w:t>Reference to ‘the Company’ shall mean IG Group Holdings plc.</w:t>
      </w:r>
    </w:p>
    <w:p w14:paraId="6A3938BA" w14:textId="6FEC522C" w:rsidR="00BD0564" w:rsidRPr="006762D8" w:rsidRDefault="00BD0564" w:rsidP="00BD0564">
      <w:pPr>
        <w:pStyle w:val="BodyText"/>
        <w:spacing w:before="120"/>
        <w:ind w:left="147" w:right="383"/>
        <w:jc w:val="both"/>
        <w:rPr>
          <w:rFonts w:ascii="Arial" w:hAnsi="Arial" w:cs="Arial"/>
        </w:rPr>
      </w:pPr>
      <w:r w:rsidRPr="006762D8">
        <w:rPr>
          <w:rFonts w:ascii="Arial" w:hAnsi="Arial" w:cs="Arial"/>
        </w:rPr>
        <w:t>Reference to ‘the IG Group’ or ‘the Group’ shall include all companies within the IG Group Holdings plc group of companies.</w:t>
      </w:r>
    </w:p>
    <w:p w14:paraId="6D68475C" w14:textId="77777777" w:rsidR="00BD0564" w:rsidRPr="003601E9" w:rsidRDefault="00BD0564" w:rsidP="003601E9">
      <w:pPr>
        <w:tabs>
          <w:tab w:val="left" w:pos="867"/>
        </w:tabs>
        <w:spacing w:before="120"/>
        <w:ind w:right="96"/>
        <w:rPr>
          <w:rFonts w:ascii="Arial" w:hAnsi="Arial" w:cs="Arial"/>
        </w:rPr>
      </w:pPr>
    </w:p>
    <w:p w14:paraId="653CA1D7" w14:textId="3A3C2F53" w:rsidR="00193B85" w:rsidRPr="006762D8" w:rsidRDefault="00193B85" w:rsidP="005717B2">
      <w:pPr>
        <w:pStyle w:val="ListParagraph"/>
        <w:tabs>
          <w:tab w:val="left" w:pos="867"/>
        </w:tabs>
        <w:spacing w:before="149"/>
        <w:ind w:left="867" w:right="96" w:hanging="725"/>
        <w:rPr>
          <w:rFonts w:ascii="Arial" w:hAnsi="Arial" w:cs="Arial"/>
        </w:rPr>
      </w:pPr>
    </w:p>
    <w:sectPr w:rsidR="00193B85" w:rsidRPr="006762D8" w:rsidSect="001C7D5C">
      <w:headerReference w:type="even" r:id="rId11"/>
      <w:headerReference w:type="default" r:id="rId12"/>
      <w:footerReference w:type="even" r:id="rId13"/>
      <w:footerReference w:type="default" r:id="rId14"/>
      <w:headerReference w:type="first" r:id="rId15"/>
      <w:footerReference w:type="first" r:id="rId16"/>
      <w:pgSz w:w="11910" w:h="16840"/>
      <w:pgMar w:top="1440" w:right="1440" w:bottom="1440" w:left="144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ED7C" w14:textId="77777777" w:rsidR="002D640D" w:rsidRDefault="002D640D">
      <w:r>
        <w:separator/>
      </w:r>
    </w:p>
  </w:endnote>
  <w:endnote w:type="continuationSeparator" w:id="0">
    <w:p w14:paraId="495FCF9B" w14:textId="77777777" w:rsidR="002D640D" w:rsidRDefault="002D640D">
      <w:r>
        <w:continuationSeparator/>
      </w:r>
    </w:p>
  </w:endnote>
  <w:endnote w:type="continuationNotice" w:id="1">
    <w:p w14:paraId="1A4F38B2" w14:textId="77777777" w:rsidR="002D640D" w:rsidRDefault="002D6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778B" w14:textId="77777777" w:rsidR="00F23249" w:rsidRDefault="00F23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3310" w14:textId="50159772" w:rsidR="00D667D4" w:rsidRDefault="005717B2">
    <w:pPr>
      <w:pStyle w:val="Footer"/>
    </w:pPr>
    <w:r>
      <w:t>Approved: May 2023</w:t>
    </w:r>
  </w:p>
  <w:p w14:paraId="32201AF9" w14:textId="77777777" w:rsidR="005717B2" w:rsidRDefault="005717B2">
    <w:pPr>
      <w:pStyle w:val="Footer"/>
    </w:pPr>
  </w:p>
  <w:p w14:paraId="5CFDAD93" w14:textId="77777777" w:rsidR="005717B2" w:rsidRDefault="00571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6232" w14:textId="77777777" w:rsidR="00F23249" w:rsidRDefault="00F23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3B0E" w14:textId="77777777" w:rsidR="002D640D" w:rsidRDefault="002D640D">
      <w:r>
        <w:separator/>
      </w:r>
    </w:p>
  </w:footnote>
  <w:footnote w:type="continuationSeparator" w:id="0">
    <w:p w14:paraId="2D04AB8C" w14:textId="77777777" w:rsidR="002D640D" w:rsidRDefault="002D640D">
      <w:r>
        <w:continuationSeparator/>
      </w:r>
    </w:p>
  </w:footnote>
  <w:footnote w:type="continuationNotice" w:id="1">
    <w:p w14:paraId="56EAC437" w14:textId="77777777" w:rsidR="002D640D" w:rsidRDefault="002D640D"/>
  </w:footnote>
  <w:footnote w:id="2">
    <w:p w14:paraId="32654CAD" w14:textId="008DF1E2" w:rsidR="003A75AB" w:rsidRPr="003601E9" w:rsidRDefault="003A75AB" w:rsidP="003A75AB">
      <w:pPr>
        <w:pStyle w:val="FootnoteText"/>
        <w:rPr>
          <w:rFonts w:ascii="Arial" w:hAnsi="Arial" w:cs="Arial"/>
          <w:sz w:val="16"/>
          <w:szCs w:val="16"/>
        </w:rPr>
      </w:pPr>
      <w:r w:rsidRPr="003A75AB">
        <w:rPr>
          <w:rStyle w:val="FootnoteReference"/>
          <w:rFonts w:ascii="Arial" w:hAnsi="Arial" w:cs="Arial"/>
          <w:sz w:val="16"/>
          <w:szCs w:val="16"/>
        </w:rPr>
        <w:footnoteRef/>
      </w:r>
      <w:r w:rsidRPr="003A75AB">
        <w:rPr>
          <w:rFonts w:ascii="Arial" w:hAnsi="Arial" w:cs="Arial"/>
          <w:sz w:val="16"/>
          <w:szCs w:val="16"/>
        </w:rPr>
        <w:t xml:space="preserve"> </w:t>
      </w:r>
      <w:r>
        <w:rPr>
          <w:rFonts w:ascii="Arial" w:hAnsi="Arial" w:cs="Arial"/>
          <w:sz w:val="16"/>
          <w:szCs w:val="16"/>
        </w:rPr>
        <w:t>In respect of gender neutrality</w:t>
      </w:r>
      <w:r w:rsidR="002241C3">
        <w:rPr>
          <w:rFonts w:ascii="Arial" w:hAnsi="Arial" w:cs="Arial"/>
          <w:sz w:val="16"/>
          <w:szCs w:val="16"/>
        </w:rPr>
        <w:t xml:space="preserve"> and being </w:t>
      </w:r>
      <w:r w:rsidR="002241C3" w:rsidRPr="003601E9">
        <w:rPr>
          <w:rFonts w:ascii="Arial" w:hAnsi="Arial" w:cs="Arial"/>
          <w:sz w:val="16"/>
          <w:szCs w:val="16"/>
        </w:rPr>
        <w:t>non-discriminatory</w:t>
      </w:r>
      <w:r w:rsidRPr="00EF2558">
        <w:rPr>
          <w:rFonts w:ascii="Arial" w:hAnsi="Arial" w:cs="Arial"/>
          <w:sz w:val="16"/>
          <w:szCs w:val="16"/>
        </w:rPr>
        <w:t xml:space="preserve">, </w:t>
      </w:r>
      <w:r w:rsidR="002241C3" w:rsidRPr="003601E9">
        <w:rPr>
          <w:rFonts w:ascii="Arial" w:hAnsi="Arial" w:cs="Arial"/>
          <w:sz w:val="16"/>
          <w:szCs w:val="16"/>
        </w:rPr>
        <w:t>from a UK perspective</w:t>
      </w:r>
      <w:r w:rsidR="002241C3" w:rsidRPr="00EF2558">
        <w:rPr>
          <w:rFonts w:ascii="Arial" w:hAnsi="Arial" w:cs="Arial"/>
          <w:sz w:val="16"/>
          <w:szCs w:val="16"/>
        </w:rPr>
        <w:t xml:space="preserve">, </w:t>
      </w:r>
      <w:r w:rsidRPr="00EF2558">
        <w:rPr>
          <w:rFonts w:ascii="Arial" w:hAnsi="Arial" w:cs="Arial"/>
          <w:sz w:val="16"/>
          <w:szCs w:val="16"/>
        </w:rPr>
        <w:t>19G.2.7 highlights that the Equality Act 2010 prohibits discrimination on the basis of an individual’s protected characteristics both before and after employment is offered. The Act applies to pay and all other contractual terms, including variable remuneration. A firm must ensure that its remuneration policy complies with the Equality Act 2010</w:t>
      </w:r>
      <w:r w:rsidR="002241C3" w:rsidRPr="00EF2558">
        <w:rPr>
          <w:rFonts w:ascii="Arial" w:hAnsi="Arial" w:cs="Arial"/>
          <w:sz w:val="16"/>
          <w:szCs w:val="16"/>
        </w:rPr>
        <w:t xml:space="preserve"> </w:t>
      </w:r>
      <w:r w:rsidR="002241C3" w:rsidRPr="003601E9">
        <w:rPr>
          <w:rFonts w:ascii="Arial" w:hAnsi="Arial" w:cs="Arial"/>
          <w:sz w:val="16"/>
          <w:szCs w:val="16"/>
        </w:rPr>
        <w:t xml:space="preserve">and any other relevant local legislation.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BCEF" w14:textId="77777777" w:rsidR="00F23249" w:rsidRDefault="00F23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49CB" w14:textId="2857DB46" w:rsidR="00193B85" w:rsidRDefault="00193B8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78DD" w14:textId="0D6C6CE5" w:rsidR="001C7D5C" w:rsidRDefault="00B34A8A">
    <w:pPr>
      <w:pStyle w:val="Header"/>
    </w:pPr>
    <w:r>
      <w:rPr>
        <w:noProof/>
      </w:rPr>
      <mc:AlternateContent>
        <mc:Choice Requires="wpg">
          <w:drawing>
            <wp:anchor distT="0" distB="0" distL="114300" distR="114300" simplePos="0" relativeHeight="251660288" behindDoc="0" locked="0" layoutInCell="1" allowOverlap="1" wp14:anchorId="32E37610" wp14:editId="139A4850">
              <wp:simplePos x="0" y="0"/>
              <wp:positionH relativeFrom="page">
                <wp:align>right</wp:align>
              </wp:positionH>
              <wp:positionV relativeFrom="paragraph">
                <wp:posOffset>-3175</wp:posOffset>
              </wp:positionV>
              <wp:extent cx="4090317" cy="815340"/>
              <wp:effectExtent l="0" t="0" r="5715" b="3810"/>
              <wp:wrapNone/>
              <wp:docPr id="4" name="Group 4"/>
              <wp:cNvGraphicFramePr/>
              <a:graphic xmlns:a="http://schemas.openxmlformats.org/drawingml/2006/main">
                <a:graphicData uri="http://schemas.microsoft.com/office/word/2010/wordprocessingGroup">
                  <wpg:wgp>
                    <wpg:cNvGrpSpPr/>
                    <wpg:grpSpPr>
                      <a:xfrm>
                        <a:off x="0" y="0"/>
                        <a:ext cx="4090317" cy="815340"/>
                        <a:chOff x="0" y="0"/>
                        <a:chExt cx="4090317" cy="815340"/>
                      </a:xfrm>
                    </wpg:grpSpPr>
                    <wps:wsp>
                      <wps:cNvPr id="5" name="Rectangle 5"/>
                      <wps:cNvSpPr/>
                      <wps:spPr>
                        <a:xfrm>
                          <a:off x="2933700" y="0"/>
                          <a:ext cx="1156617" cy="670851"/>
                        </a:xfrm>
                        <a:prstGeom prst="rect">
                          <a:avLst/>
                        </a:prstGeom>
                        <a:solidFill>
                          <a:srgbClr val="00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022350" y="292100"/>
                          <a:ext cx="961390" cy="194310"/>
                        </a:xfrm>
                        <a:prstGeom prst="rect">
                          <a:avLst/>
                        </a:prstGeom>
                        <a:solidFill>
                          <a:srgbClr val="00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987550" y="488950"/>
                          <a:ext cx="1193800" cy="326390"/>
                        </a:xfrm>
                        <a:prstGeom prst="rect">
                          <a:avLst/>
                        </a:prstGeom>
                        <a:solidFill>
                          <a:srgbClr val="FF6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628015" cy="244475"/>
                        </a:xfrm>
                        <a:prstGeom prst="rect">
                          <a:avLst/>
                        </a:prstGeom>
                        <a:solidFill>
                          <a:srgbClr val="FF6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150A72" id="Group 4" o:spid="_x0000_s1026" style="position:absolute;margin-left:270.85pt;margin-top:-.25pt;width:322.05pt;height:64.2pt;z-index:251660288;mso-position-horizontal:right;mso-position-horizontal-relative:page" coordsize="40903,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">
              <v:rect id="Rectangle 5" o:spid="_x0000_s1027" style="position:absolute;left:29337;width:11566;height:6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" fillcolor="#002954" stroked="f" strokeweight="2pt"/>
              <v:rect id="Rectangle 6" o:spid="_x0000_s1028" style="position:absolute;left:10223;top:2921;width:9614;height:1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" fillcolor="#002954" stroked="f" strokeweight="2pt"/>
              <v:rect id="Rectangle 7" o:spid="_x0000_s1029" style="position:absolute;left:19875;top:4889;width:11938;height:3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" fillcolor="#ff6e1e" stroked="f" strokeweight="2pt"/>
              <v:rect id="Rectangle 8" o:spid="_x0000_s1030" style="position:absolute;width:6280;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" fillcolor="#ff6e1e" stroked="f" strokeweight="2pt"/>
              <w10:wrap anchorx="page"/>
            </v:group>
          </w:pict>
        </mc:Fallback>
      </mc:AlternateContent>
    </w:r>
  </w:p>
  <w:p w14:paraId="1AEA8B01" w14:textId="68688969" w:rsidR="00B34A8A" w:rsidRDefault="00B34A8A" w:rsidP="00B34A8A">
    <w:pPr>
      <w:pStyle w:val="Header"/>
    </w:pPr>
    <w:r>
      <w:rPr>
        <w:rFonts w:ascii="Arial" w:hAnsi="Arial" w:cs="Arial"/>
        <w:b/>
        <w:bCs/>
        <w:noProof/>
        <w:color w:val="FFFFFF" w:themeColor="background1"/>
        <w:sz w:val="21"/>
        <w:szCs w:val="16"/>
      </w:rPr>
      <w:drawing>
        <wp:anchor distT="0" distB="0" distL="114300" distR="114300" simplePos="0" relativeHeight="251659264" behindDoc="1" locked="0" layoutInCell="1" allowOverlap="1" wp14:anchorId="1D9A5A0B" wp14:editId="457D1EE1">
          <wp:simplePos x="0" y="0"/>
          <wp:positionH relativeFrom="page">
            <wp:posOffset>1</wp:posOffset>
          </wp:positionH>
          <wp:positionV relativeFrom="page">
            <wp:posOffset>12700</wp:posOffset>
          </wp:positionV>
          <wp:extent cx="1822450" cy="799994"/>
          <wp:effectExtent l="0" t="0" r="6350" b="635"/>
          <wp:wrapNone/>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1"/>
                  <a:srcRect r="73100" b="91655"/>
                  <a:stretch/>
                </pic:blipFill>
                <pic:spPr bwMode="auto">
                  <a:xfrm>
                    <a:off x="0" y="0"/>
                    <a:ext cx="1827690" cy="802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96C3FD" w14:textId="3C190191" w:rsidR="001C7D5C" w:rsidRDefault="00102800" w:rsidP="00102800">
    <w:pPr>
      <w:pStyle w:val="Header"/>
      <w:tabs>
        <w:tab w:val="clear" w:pos="4513"/>
        <w:tab w:val="clear" w:pos="9026"/>
        <w:tab w:val="left" w:pos="1152"/>
      </w:tabs>
    </w:pPr>
    <w:r>
      <w:tab/>
    </w:r>
  </w:p>
  <w:p w14:paraId="5FB4B700" w14:textId="3EF8FFC4" w:rsidR="001C7D5C" w:rsidRDefault="001C7D5C" w:rsidP="001A5A78">
    <w:pPr>
      <w:pStyle w:val="Header"/>
      <w:ind w:firstLine="720"/>
    </w:pPr>
  </w:p>
  <w:p w14:paraId="71965C0F" w14:textId="21A77E17" w:rsidR="001C7D5C" w:rsidRDefault="001C7D5C">
    <w:pPr>
      <w:pStyle w:val="Header"/>
    </w:pPr>
  </w:p>
  <w:p w14:paraId="48FB7EA6" w14:textId="6D24DA22" w:rsidR="001C7D5C" w:rsidRDefault="001C7D5C" w:rsidP="001C7D5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1A25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09D4"/>
    <w:multiLevelType w:val="multilevel"/>
    <w:tmpl w:val="9DB6DDE8"/>
    <w:lvl w:ilvl="0">
      <w:start w:val="10"/>
      <w:numFmt w:val="decimal"/>
      <w:lvlText w:val="%1"/>
      <w:lvlJc w:val="left"/>
      <w:pPr>
        <w:ind w:left="866" w:hanging="720"/>
      </w:pPr>
      <w:rPr>
        <w:rFonts w:hint="default"/>
        <w:lang w:val="en-GB" w:eastAsia="en-GB" w:bidi="en-GB"/>
      </w:rPr>
    </w:lvl>
    <w:lvl w:ilvl="1">
      <w:start w:val="1"/>
      <w:numFmt w:val="decimal"/>
      <w:lvlText w:val="%1.%2"/>
      <w:lvlJc w:val="left"/>
      <w:pPr>
        <w:ind w:left="866" w:hanging="720"/>
      </w:pPr>
      <w:rPr>
        <w:rFonts w:ascii="Arial" w:eastAsia="Century Gothic" w:hAnsi="Arial" w:cs="Arial" w:hint="default"/>
        <w:spacing w:val="-2"/>
        <w:w w:val="100"/>
        <w:sz w:val="22"/>
        <w:szCs w:val="22"/>
        <w:lang w:val="en-GB" w:eastAsia="en-GB" w:bidi="en-GB"/>
      </w:rPr>
    </w:lvl>
    <w:lvl w:ilvl="2">
      <w:numFmt w:val="bullet"/>
      <w:lvlText w:val="•"/>
      <w:lvlJc w:val="left"/>
      <w:pPr>
        <w:ind w:left="2881" w:hanging="720"/>
      </w:pPr>
      <w:rPr>
        <w:rFonts w:hint="default"/>
        <w:lang w:val="en-GB" w:eastAsia="en-GB" w:bidi="en-GB"/>
      </w:rPr>
    </w:lvl>
    <w:lvl w:ilvl="3">
      <w:numFmt w:val="bullet"/>
      <w:lvlText w:val="•"/>
      <w:lvlJc w:val="left"/>
      <w:pPr>
        <w:ind w:left="3891" w:hanging="720"/>
      </w:pPr>
      <w:rPr>
        <w:rFonts w:hint="default"/>
        <w:lang w:val="en-GB" w:eastAsia="en-GB" w:bidi="en-GB"/>
      </w:rPr>
    </w:lvl>
    <w:lvl w:ilvl="4">
      <w:numFmt w:val="bullet"/>
      <w:lvlText w:val="•"/>
      <w:lvlJc w:val="left"/>
      <w:pPr>
        <w:ind w:left="4902" w:hanging="720"/>
      </w:pPr>
      <w:rPr>
        <w:rFonts w:hint="default"/>
        <w:lang w:val="en-GB" w:eastAsia="en-GB" w:bidi="en-GB"/>
      </w:rPr>
    </w:lvl>
    <w:lvl w:ilvl="5">
      <w:numFmt w:val="bullet"/>
      <w:lvlText w:val="•"/>
      <w:lvlJc w:val="left"/>
      <w:pPr>
        <w:ind w:left="5913" w:hanging="720"/>
      </w:pPr>
      <w:rPr>
        <w:rFonts w:hint="default"/>
        <w:lang w:val="en-GB" w:eastAsia="en-GB" w:bidi="en-GB"/>
      </w:rPr>
    </w:lvl>
    <w:lvl w:ilvl="6">
      <w:numFmt w:val="bullet"/>
      <w:lvlText w:val="•"/>
      <w:lvlJc w:val="left"/>
      <w:pPr>
        <w:ind w:left="6923" w:hanging="720"/>
      </w:pPr>
      <w:rPr>
        <w:rFonts w:hint="default"/>
        <w:lang w:val="en-GB" w:eastAsia="en-GB" w:bidi="en-GB"/>
      </w:rPr>
    </w:lvl>
    <w:lvl w:ilvl="7">
      <w:numFmt w:val="bullet"/>
      <w:lvlText w:val="•"/>
      <w:lvlJc w:val="left"/>
      <w:pPr>
        <w:ind w:left="7934" w:hanging="720"/>
      </w:pPr>
      <w:rPr>
        <w:rFonts w:hint="default"/>
        <w:lang w:val="en-GB" w:eastAsia="en-GB" w:bidi="en-GB"/>
      </w:rPr>
    </w:lvl>
    <w:lvl w:ilvl="8">
      <w:numFmt w:val="bullet"/>
      <w:lvlText w:val="•"/>
      <w:lvlJc w:val="left"/>
      <w:pPr>
        <w:ind w:left="8945" w:hanging="720"/>
      </w:pPr>
      <w:rPr>
        <w:rFonts w:hint="default"/>
        <w:lang w:val="en-GB" w:eastAsia="en-GB" w:bidi="en-GB"/>
      </w:rPr>
    </w:lvl>
  </w:abstractNum>
  <w:abstractNum w:abstractNumId="2" w15:restartNumberingAfterBreak="0">
    <w:nsid w:val="109A074E"/>
    <w:multiLevelType w:val="multilevel"/>
    <w:tmpl w:val="308A6826"/>
    <w:lvl w:ilvl="0">
      <w:start w:val="11"/>
      <w:numFmt w:val="decimal"/>
      <w:lvlText w:val="%1."/>
      <w:lvlJc w:val="left"/>
      <w:pPr>
        <w:ind w:left="929" w:hanging="783"/>
      </w:pPr>
      <w:rPr>
        <w:rFonts w:ascii="Century Gothic" w:eastAsia="Century Gothic" w:hAnsi="Century Gothic" w:cs="Century Gothic" w:hint="default"/>
        <w:b/>
        <w:bCs/>
        <w:spacing w:val="-2"/>
        <w:w w:val="100"/>
        <w:sz w:val="22"/>
        <w:szCs w:val="22"/>
        <w:lang w:val="en-GB" w:eastAsia="en-GB" w:bidi="en-GB"/>
      </w:rPr>
    </w:lvl>
    <w:lvl w:ilvl="1">
      <w:start w:val="1"/>
      <w:numFmt w:val="decimal"/>
      <w:lvlText w:val="%1.%2"/>
      <w:lvlJc w:val="left"/>
      <w:pPr>
        <w:ind w:left="998" w:hanging="846"/>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107" w:hanging="846"/>
      </w:pPr>
      <w:rPr>
        <w:rFonts w:hint="default"/>
        <w:lang w:val="en-GB" w:eastAsia="en-GB" w:bidi="en-GB"/>
      </w:rPr>
    </w:lvl>
    <w:lvl w:ilvl="3">
      <w:numFmt w:val="bullet"/>
      <w:lvlText w:val="•"/>
      <w:lvlJc w:val="left"/>
      <w:pPr>
        <w:ind w:left="3214" w:hanging="846"/>
      </w:pPr>
      <w:rPr>
        <w:rFonts w:hint="default"/>
        <w:lang w:val="en-GB" w:eastAsia="en-GB" w:bidi="en-GB"/>
      </w:rPr>
    </w:lvl>
    <w:lvl w:ilvl="4">
      <w:numFmt w:val="bullet"/>
      <w:lvlText w:val="•"/>
      <w:lvlJc w:val="left"/>
      <w:pPr>
        <w:ind w:left="4322" w:hanging="846"/>
      </w:pPr>
      <w:rPr>
        <w:rFonts w:hint="default"/>
        <w:lang w:val="en-GB" w:eastAsia="en-GB" w:bidi="en-GB"/>
      </w:rPr>
    </w:lvl>
    <w:lvl w:ilvl="5">
      <w:numFmt w:val="bullet"/>
      <w:lvlText w:val="•"/>
      <w:lvlJc w:val="left"/>
      <w:pPr>
        <w:ind w:left="5429" w:hanging="846"/>
      </w:pPr>
      <w:rPr>
        <w:rFonts w:hint="default"/>
        <w:lang w:val="en-GB" w:eastAsia="en-GB" w:bidi="en-GB"/>
      </w:rPr>
    </w:lvl>
    <w:lvl w:ilvl="6">
      <w:numFmt w:val="bullet"/>
      <w:lvlText w:val="•"/>
      <w:lvlJc w:val="left"/>
      <w:pPr>
        <w:ind w:left="6536" w:hanging="846"/>
      </w:pPr>
      <w:rPr>
        <w:rFonts w:hint="default"/>
        <w:lang w:val="en-GB" w:eastAsia="en-GB" w:bidi="en-GB"/>
      </w:rPr>
    </w:lvl>
    <w:lvl w:ilvl="7">
      <w:numFmt w:val="bullet"/>
      <w:lvlText w:val="•"/>
      <w:lvlJc w:val="left"/>
      <w:pPr>
        <w:ind w:left="7644" w:hanging="846"/>
      </w:pPr>
      <w:rPr>
        <w:rFonts w:hint="default"/>
        <w:lang w:val="en-GB" w:eastAsia="en-GB" w:bidi="en-GB"/>
      </w:rPr>
    </w:lvl>
    <w:lvl w:ilvl="8">
      <w:numFmt w:val="bullet"/>
      <w:lvlText w:val="•"/>
      <w:lvlJc w:val="left"/>
      <w:pPr>
        <w:ind w:left="8751" w:hanging="846"/>
      </w:pPr>
      <w:rPr>
        <w:rFonts w:hint="default"/>
        <w:lang w:val="en-GB" w:eastAsia="en-GB" w:bidi="en-GB"/>
      </w:rPr>
    </w:lvl>
  </w:abstractNum>
  <w:abstractNum w:abstractNumId="3" w15:restartNumberingAfterBreak="0">
    <w:nsid w:val="11DC481F"/>
    <w:multiLevelType w:val="multilevel"/>
    <w:tmpl w:val="B92C6062"/>
    <w:lvl w:ilvl="0">
      <w:start w:val="3"/>
      <w:numFmt w:val="decimal"/>
      <w:lvlText w:val="%1."/>
      <w:lvlJc w:val="left"/>
      <w:pPr>
        <w:ind w:left="866" w:hanging="720"/>
      </w:pPr>
      <w:rPr>
        <w:rFonts w:ascii="Arial" w:eastAsia="Century Gothic" w:hAnsi="Arial" w:cs="Arial" w:hint="default"/>
        <w:b/>
        <w:bCs/>
        <w:spacing w:val="0"/>
        <w:w w:val="100"/>
        <w:sz w:val="22"/>
        <w:szCs w:val="22"/>
        <w:lang w:val="en-GB" w:eastAsia="en-GB" w:bidi="en-GB"/>
      </w:rPr>
    </w:lvl>
    <w:lvl w:ilvl="1">
      <w:start w:val="1"/>
      <w:numFmt w:val="decimal"/>
      <w:lvlText w:val="%1.%2"/>
      <w:lvlJc w:val="left"/>
      <w:pPr>
        <w:ind w:left="854" w:hanging="708"/>
      </w:pPr>
      <w:rPr>
        <w:rFonts w:ascii="Arial" w:eastAsia="Century Gothic" w:hAnsi="Arial" w:cs="Arial" w:hint="default"/>
        <w:b w:val="0"/>
        <w:bCs w:val="0"/>
        <w:spacing w:val="-2"/>
        <w:w w:val="100"/>
        <w:sz w:val="22"/>
        <w:szCs w:val="22"/>
        <w:lang w:val="en-GB" w:eastAsia="en-GB" w:bidi="en-GB"/>
      </w:rPr>
    </w:lvl>
    <w:lvl w:ilvl="2">
      <w:numFmt w:val="bullet"/>
      <w:lvlText w:val="•"/>
      <w:lvlJc w:val="left"/>
      <w:pPr>
        <w:ind w:left="1982" w:hanging="708"/>
      </w:pPr>
      <w:rPr>
        <w:rFonts w:hint="default"/>
        <w:lang w:val="en-GB" w:eastAsia="en-GB" w:bidi="en-GB"/>
      </w:rPr>
    </w:lvl>
    <w:lvl w:ilvl="3">
      <w:numFmt w:val="bullet"/>
      <w:lvlText w:val="•"/>
      <w:lvlJc w:val="left"/>
      <w:pPr>
        <w:ind w:left="3105" w:hanging="708"/>
      </w:pPr>
      <w:rPr>
        <w:rFonts w:hint="default"/>
        <w:lang w:val="en-GB" w:eastAsia="en-GB" w:bidi="en-GB"/>
      </w:rPr>
    </w:lvl>
    <w:lvl w:ilvl="4">
      <w:numFmt w:val="bullet"/>
      <w:lvlText w:val="•"/>
      <w:lvlJc w:val="left"/>
      <w:pPr>
        <w:ind w:left="4228" w:hanging="708"/>
      </w:pPr>
      <w:rPr>
        <w:rFonts w:hint="default"/>
        <w:lang w:val="en-GB" w:eastAsia="en-GB" w:bidi="en-GB"/>
      </w:rPr>
    </w:lvl>
    <w:lvl w:ilvl="5">
      <w:numFmt w:val="bullet"/>
      <w:lvlText w:val="•"/>
      <w:lvlJc w:val="left"/>
      <w:pPr>
        <w:ind w:left="5351" w:hanging="708"/>
      </w:pPr>
      <w:rPr>
        <w:rFonts w:hint="default"/>
        <w:lang w:val="en-GB" w:eastAsia="en-GB" w:bidi="en-GB"/>
      </w:rPr>
    </w:lvl>
    <w:lvl w:ilvl="6">
      <w:numFmt w:val="bullet"/>
      <w:lvlText w:val="•"/>
      <w:lvlJc w:val="left"/>
      <w:pPr>
        <w:ind w:left="6474" w:hanging="708"/>
      </w:pPr>
      <w:rPr>
        <w:rFonts w:hint="default"/>
        <w:lang w:val="en-GB" w:eastAsia="en-GB" w:bidi="en-GB"/>
      </w:rPr>
    </w:lvl>
    <w:lvl w:ilvl="7">
      <w:numFmt w:val="bullet"/>
      <w:lvlText w:val="•"/>
      <w:lvlJc w:val="left"/>
      <w:pPr>
        <w:ind w:left="7597" w:hanging="708"/>
      </w:pPr>
      <w:rPr>
        <w:rFonts w:hint="default"/>
        <w:lang w:val="en-GB" w:eastAsia="en-GB" w:bidi="en-GB"/>
      </w:rPr>
    </w:lvl>
    <w:lvl w:ilvl="8">
      <w:numFmt w:val="bullet"/>
      <w:lvlText w:val="•"/>
      <w:lvlJc w:val="left"/>
      <w:pPr>
        <w:ind w:left="8720" w:hanging="708"/>
      </w:pPr>
      <w:rPr>
        <w:rFonts w:hint="default"/>
        <w:lang w:val="en-GB" w:eastAsia="en-GB" w:bidi="en-GB"/>
      </w:rPr>
    </w:lvl>
  </w:abstractNum>
  <w:abstractNum w:abstractNumId="4" w15:restartNumberingAfterBreak="0">
    <w:nsid w:val="1F3D1E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BB1F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82743"/>
    <w:multiLevelType w:val="multilevel"/>
    <w:tmpl w:val="5F20D264"/>
    <w:lvl w:ilvl="0">
      <w:start w:val="11"/>
      <w:numFmt w:val="decimal"/>
      <w:lvlText w:val="%1"/>
      <w:lvlJc w:val="left"/>
      <w:pPr>
        <w:ind w:left="1164" w:hanging="738"/>
      </w:pPr>
      <w:rPr>
        <w:rFonts w:ascii="Arial" w:eastAsia="Calibri" w:hAnsi="Arial" w:cs="Arial" w:hint="default"/>
        <w:b/>
        <w:bCs/>
        <w:w w:val="100"/>
        <w:sz w:val="22"/>
        <w:szCs w:val="22"/>
        <w:lang w:val="en-GB" w:eastAsia="en-GB" w:bidi="en-GB"/>
      </w:rPr>
    </w:lvl>
    <w:lvl w:ilvl="1">
      <w:start w:val="1"/>
      <w:numFmt w:val="decimal"/>
      <w:lvlText w:val="%1.%2"/>
      <w:lvlJc w:val="left"/>
      <w:pPr>
        <w:ind w:left="1264" w:hanging="697"/>
      </w:pPr>
      <w:rPr>
        <w:rFonts w:ascii="Arial" w:eastAsia="Century Gothic" w:hAnsi="Arial" w:cs="Arial" w:hint="default"/>
        <w:spacing w:val="-2"/>
        <w:w w:val="100"/>
        <w:sz w:val="22"/>
        <w:szCs w:val="22"/>
        <w:lang w:val="en-GB" w:eastAsia="en-GB" w:bidi="en-GB"/>
      </w:rPr>
    </w:lvl>
    <w:lvl w:ilvl="2">
      <w:numFmt w:val="bullet"/>
      <w:lvlText w:val="•"/>
      <w:lvlJc w:val="left"/>
      <w:pPr>
        <w:ind w:left="2240" w:hanging="697"/>
      </w:pPr>
      <w:rPr>
        <w:rFonts w:hint="default"/>
        <w:lang w:val="en-GB" w:eastAsia="en-GB" w:bidi="en-GB"/>
      </w:rPr>
    </w:lvl>
    <w:lvl w:ilvl="3">
      <w:numFmt w:val="bullet"/>
      <w:lvlText w:val="•"/>
      <w:lvlJc w:val="left"/>
      <w:pPr>
        <w:ind w:left="3347" w:hanging="697"/>
      </w:pPr>
      <w:rPr>
        <w:rFonts w:hint="default"/>
        <w:lang w:val="en-GB" w:eastAsia="en-GB" w:bidi="en-GB"/>
      </w:rPr>
    </w:lvl>
    <w:lvl w:ilvl="4">
      <w:numFmt w:val="bullet"/>
      <w:lvlText w:val="•"/>
      <w:lvlJc w:val="left"/>
      <w:pPr>
        <w:ind w:left="4455" w:hanging="697"/>
      </w:pPr>
      <w:rPr>
        <w:rFonts w:hint="default"/>
        <w:lang w:val="en-GB" w:eastAsia="en-GB" w:bidi="en-GB"/>
      </w:rPr>
    </w:lvl>
    <w:lvl w:ilvl="5">
      <w:numFmt w:val="bullet"/>
      <w:lvlText w:val="•"/>
      <w:lvlJc w:val="left"/>
      <w:pPr>
        <w:ind w:left="5562" w:hanging="697"/>
      </w:pPr>
      <w:rPr>
        <w:rFonts w:hint="default"/>
        <w:lang w:val="en-GB" w:eastAsia="en-GB" w:bidi="en-GB"/>
      </w:rPr>
    </w:lvl>
    <w:lvl w:ilvl="6">
      <w:numFmt w:val="bullet"/>
      <w:lvlText w:val="•"/>
      <w:lvlJc w:val="left"/>
      <w:pPr>
        <w:ind w:left="6669" w:hanging="697"/>
      </w:pPr>
      <w:rPr>
        <w:rFonts w:hint="default"/>
        <w:lang w:val="en-GB" w:eastAsia="en-GB" w:bidi="en-GB"/>
      </w:rPr>
    </w:lvl>
    <w:lvl w:ilvl="7">
      <w:numFmt w:val="bullet"/>
      <w:lvlText w:val="•"/>
      <w:lvlJc w:val="left"/>
      <w:pPr>
        <w:ind w:left="7777" w:hanging="697"/>
      </w:pPr>
      <w:rPr>
        <w:rFonts w:hint="default"/>
        <w:lang w:val="en-GB" w:eastAsia="en-GB" w:bidi="en-GB"/>
      </w:rPr>
    </w:lvl>
    <w:lvl w:ilvl="8">
      <w:numFmt w:val="bullet"/>
      <w:lvlText w:val="•"/>
      <w:lvlJc w:val="left"/>
      <w:pPr>
        <w:ind w:left="8884" w:hanging="697"/>
      </w:pPr>
      <w:rPr>
        <w:rFonts w:hint="default"/>
        <w:lang w:val="en-GB" w:eastAsia="en-GB" w:bidi="en-GB"/>
      </w:rPr>
    </w:lvl>
  </w:abstractNum>
  <w:abstractNum w:abstractNumId="7" w15:restartNumberingAfterBreak="0">
    <w:nsid w:val="3E976D02"/>
    <w:multiLevelType w:val="multilevel"/>
    <w:tmpl w:val="D6900206"/>
    <w:lvl w:ilvl="0">
      <w:start w:val="2"/>
      <w:numFmt w:val="decimal"/>
      <w:lvlText w:val="%1"/>
      <w:lvlJc w:val="left"/>
      <w:pPr>
        <w:ind w:left="866" w:hanging="720"/>
      </w:pPr>
      <w:rPr>
        <w:rFonts w:ascii="Arial" w:eastAsia="Century Gothic" w:hAnsi="Arial" w:cs="Arial" w:hint="default"/>
        <w:b/>
        <w:bCs/>
        <w:w w:val="100"/>
        <w:sz w:val="22"/>
        <w:szCs w:val="22"/>
        <w:lang w:val="en-GB" w:eastAsia="en-GB" w:bidi="en-GB"/>
      </w:rPr>
    </w:lvl>
    <w:lvl w:ilvl="1">
      <w:start w:val="1"/>
      <w:numFmt w:val="decimal"/>
      <w:lvlText w:val="%1.%2"/>
      <w:lvlJc w:val="left"/>
      <w:pPr>
        <w:ind w:left="866" w:hanging="720"/>
      </w:pPr>
      <w:rPr>
        <w:rFonts w:ascii="Arial" w:eastAsia="Century Gothic" w:hAnsi="Arial" w:cs="Arial" w:hint="default"/>
        <w:spacing w:val="-2"/>
        <w:w w:val="100"/>
        <w:sz w:val="22"/>
        <w:szCs w:val="22"/>
        <w:lang w:val="en-GB" w:eastAsia="en-GB" w:bidi="en-GB"/>
      </w:rPr>
    </w:lvl>
    <w:lvl w:ilvl="2">
      <w:numFmt w:val="bullet"/>
      <w:lvlText w:val="•"/>
      <w:lvlJc w:val="left"/>
      <w:pPr>
        <w:ind w:left="2881" w:hanging="720"/>
      </w:pPr>
      <w:rPr>
        <w:rFonts w:hint="default"/>
        <w:lang w:val="en-GB" w:eastAsia="en-GB" w:bidi="en-GB"/>
      </w:rPr>
    </w:lvl>
    <w:lvl w:ilvl="3">
      <w:numFmt w:val="bullet"/>
      <w:lvlText w:val="•"/>
      <w:lvlJc w:val="left"/>
      <w:pPr>
        <w:ind w:left="3891" w:hanging="720"/>
      </w:pPr>
      <w:rPr>
        <w:rFonts w:hint="default"/>
        <w:lang w:val="en-GB" w:eastAsia="en-GB" w:bidi="en-GB"/>
      </w:rPr>
    </w:lvl>
    <w:lvl w:ilvl="4">
      <w:numFmt w:val="bullet"/>
      <w:lvlText w:val="•"/>
      <w:lvlJc w:val="left"/>
      <w:pPr>
        <w:ind w:left="4902" w:hanging="720"/>
      </w:pPr>
      <w:rPr>
        <w:rFonts w:hint="default"/>
        <w:lang w:val="en-GB" w:eastAsia="en-GB" w:bidi="en-GB"/>
      </w:rPr>
    </w:lvl>
    <w:lvl w:ilvl="5">
      <w:numFmt w:val="bullet"/>
      <w:lvlText w:val="•"/>
      <w:lvlJc w:val="left"/>
      <w:pPr>
        <w:ind w:left="5913" w:hanging="720"/>
      </w:pPr>
      <w:rPr>
        <w:rFonts w:hint="default"/>
        <w:lang w:val="en-GB" w:eastAsia="en-GB" w:bidi="en-GB"/>
      </w:rPr>
    </w:lvl>
    <w:lvl w:ilvl="6">
      <w:numFmt w:val="bullet"/>
      <w:lvlText w:val="•"/>
      <w:lvlJc w:val="left"/>
      <w:pPr>
        <w:ind w:left="6923" w:hanging="720"/>
      </w:pPr>
      <w:rPr>
        <w:rFonts w:hint="default"/>
        <w:lang w:val="en-GB" w:eastAsia="en-GB" w:bidi="en-GB"/>
      </w:rPr>
    </w:lvl>
    <w:lvl w:ilvl="7">
      <w:numFmt w:val="bullet"/>
      <w:lvlText w:val="•"/>
      <w:lvlJc w:val="left"/>
      <w:pPr>
        <w:ind w:left="7934" w:hanging="720"/>
      </w:pPr>
      <w:rPr>
        <w:rFonts w:hint="default"/>
        <w:lang w:val="en-GB" w:eastAsia="en-GB" w:bidi="en-GB"/>
      </w:rPr>
    </w:lvl>
    <w:lvl w:ilvl="8">
      <w:numFmt w:val="bullet"/>
      <w:lvlText w:val="•"/>
      <w:lvlJc w:val="left"/>
      <w:pPr>
        <w:ind w:left="8945" w:hanging="720"/>
      </w:pPr>
      <w:rPr>
        <w:rFonts w:hint="default"/>
        <w:lang w:val="en-GB" w:eastAsia="en-GB" w:bidi="en-GB"/>
      </w:rPr>
    </w:lvl>
  </w:abstractNum>
  <w:abstractNum w:abstractNumId="8" w15:restartNumberingAfterBreak="0">
    <w:nsid w:val="6AFE6B98"/>
    <w:multiLevelType w:val="hybridMultilevel"/>
    <w:tmpl w:val="345AB928"/>
    <w:lvl w:ilvl="0" w:tplc="A9AEFA9C">
      <w:start w:val="1"/>
      <w:numFmt w:val="decimal"/>
      <w:lvlText w:val="%1."/>
      <w:lvlJc w:val="left"/>
      <w:pPr>
        <w:ind w:left="506" w:hanging="360"/>
      </w:pPr>
      <w:rPr>
        <w:rFonts w:ascii="Arial" w:eastAsia="Century Gothic" w:hAnsi="Arial" w:cs="Arial" w:hint="default"/>
        <w:w w:val="100"/>
        <w:sz w:val="22"/>
        <w:szCs w:val="22"/>
        <w:lang w:val="en-GB" w:eastAsia="en-GB" w:bidi="en-GB"/>
      </w:rPr>
    </w:lvl>
    <w:lvl w:ilvl="1" w:tplc="D96CAABC">
      <w:numFmt w:val="bullet"/>
      <w:lvlText w:val="•"/>
      <w:lvlJc w:val="left"/>
      <w:pPr>
        <w:ind w:left="1546" w:hanging="360"/>
      </w:pPr>
      <w:rPr>
        <w:rFonts w:hint="default"/>
        <w:lang w:val="en-GB" w:eastAsia="en-GB" w:bidi="en-GB"/>
      </w:rPr>
    </w:lvl>
    <w:lvl w:ilvl="2" w:tplc="6902EECA">
      <w:numFmt w:val="bullet"/>
      <w:lvlText w:val="•"/>
      <w:lvlJc w:val="left"/>
      <w:pPr>
        <w:ind w:left="2593" w:hanging="360"/>
      </w:pPr>
      <w:rPr>
        <w:rFonts w:hint="default"/>
        <w:lang w:val="en-GB" w:eastAsia="en-GB" w:bidi="en-GB"/>
      </w:rPr>
    </w:lvl>
    <w:lvl w:ilvl="3" w:tplc="6A5CABF6">
      <w:numFmt w:val="bullet"/>
      <w:lvlText w:val="•"/>
      <w:lvlJc w:val="left"/>
      <w:pPr>
        <w:ind w:left="3639" w:hanging="360"/>
      </w:pPr>
      <w:rPr>
        <w:rFonts w:hint="default"/>
        <w:lang w:val="en-GB" w:eastAsia="en-GB" w:bidi="en-GB"/>
      </w:rPr>
    </w:lvl>
    <w:lvl w:ilvl="4" w:tplc="83B4FA90">
      <w:numFmt w:val="bullet"/>
      <w:lvlText w:val="•"/>
      <w:lvlJc w:val="left"/>
      <w:pPr>
        <w:ind w:left="4686" w:hanging="360"/>
      </w:pPr>
      <w:rPr>
        <w:rFonts w:hint="default"/>
        <w:lang w:val="en-GB" w:eastAsia="en-GB" w:bidi="en-GB"/>
      </w:rPr>
    </w:lvl>
    <w:lvl w:ilvl="5" w:tplc="1C507092">
      <w:numFmt w:val="bullet"/>
      <w:lvlText w:val="•"/>
      <w:lvlJc w:val="left"/>
      <w:pPr>
        <w:ind w:left="5733" w:hanging="360"/>
      </w:pPr>
      <w:rPr>
        <w:rFonts w:hint="default"/>
        <w:lang w:val="en-GB" w:eastAsia="en-GB" w:bidi="en-GB"/>
      </w:rPr>
    </w:lvl>
    <w:lvl w:ilvl="6" w:tplc="0694C520">
      <w:numFmt w:val="bullet"/>
      <w:lvlText w:val="•"/>
      <w:lvlJc w:val="left"/>
      <w:pPr>
        <w:ind w:left="6779" w:hanging="360"/>
      </w:pPr>
      <w:rPr>
        <w:rFonts w:hint="default"/>
        <w:lang w:val="en-GB" w:eastAsia="en-GB" w:bidi="en-GB"/>
      </w:rPr>
    </w:lvl>
    <w:lvl w:ilvl="7" w:tplc="DFA6830E">
      <w:numFmt w:val="bullet"/>
      <w:lvlText w:val="•"/>
      <w:lvlJc w:val="left"/>
      <w:pPr>
        <w:ind w:left="7826" w:hanging="360"/>
      </w:pPr>
      <w:rPr>
        <w:rFonts w:hint="default"/>
        <w:lang w:val="en-GB" w:eastAsia="en-GB" w:bidi="en-GB"/>
      </w:rPr>
    </w:lvl>
    <w:lvl w:ilvl="8" w:tplc="107A5A1E">
      <w:numFmt w:val="bullet"/>
      <w:lvlText w:val="•"/>
      <w:lvlJc w:val="left"/>
      <w:pPr>
        <w:ind w:left="8873" w:hanging="360"/>
      </w:pPr>
      <w:rPr>
        <w:rFonts w:hint="default"/>
        <w:lang w:val="en-GB" w:eastAsia="en-GB" w:bidi="en-GB"/>
      </w:rPr>
    </w:lvl>
  </w:abstractNum>
  <w:num w:numId="1" w16cid:durableId="1002077138">
    <w:abstractNumId w:val="2"/>
  </w:num>
  <w:num w:numId="2" w16cid:durableId="450709123">
    <w:abstractNumId w:val="1"/>
  </w:num>
  <w:num w:numId="3" w16cid:durableId="701713266">
    <w:abstractNumId w:val="3"/>
  </w:num>
  <w:num w:numId="4" w16cid:durableId="1668555374">
    <w:abstractNumId w:val="7"/>
  </w:num>
  <w:num w:numId="5" w16cid:durableId="1103644675">
    <w:abstractNumId w:val="8"/>
  </w:num>
  <w:num w:numId="6" w16cid:durableId="452410845">
    <w:abstractNumId w:val="4"/>
    <w:lvlOverride w:ilvl="0">
      <w:lvl w:ilvl="0">
        <w:start w:val="1"/>
        <w:numFmt w:val="decimal"/>
        <w:lvlText w:val="%1."/>
        <w:lvlJc w:val="left"/>
        <w:pPr>
          <w:ind w:left="360" w:hanging="360"/>
        </w:pPr>
      </w:lvl>
    </w:lvlOverride>
    <w:lvlOverride w:ilvl="1">
      <w:lvl w:ilvl="1">
        <w:start w:val="1"/>
        <w:numFmt w:val="decimal"/>
        <w:lvlText w:val="%1.%2."/>
        <w:lvlJc w:val="left"/>
        <w:pPr>
          <w:ind w:left="1021" w:hanging="661"/>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16cid:durableId="366174692">
    <w:abstractNumId w:val="0"/>
  </w:num>
  <w:num w:numId="8" w16cid:durableId="399985598">
    <w:abstractNumId w:val="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1574968413">
    <w:abstractNumId w:val="6"/>
  </w:num>
  <w:num w:numId="10" w16cid:durableId="452750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85"/>
    <w:rsid w:val="00001F2E"/>
    <w:rsid w:val="00002806"/>
    <w:rsid w:val="000029D8"/>
    <w:rsid w:val="00004214"/>
    <w:rsid w:val="0000443B"/>
    <w:rsid w:val="000117B7"/>
    <w:rsid w:val="00016255"/>
    <w:rsid w:val="00020FF9"/>
    <w:rsid w:val="00024EF7"/>
    <w:rsid w:val="00024FEF"/>
    <w:rsid w:val="00033584"/>
    <w:rsid w:val="0004413B"/>
    <w:rsid w:val="00052710"/>
    <w:rsid w:val="0005333F"/>
    <w:rsid w:val="000574C3"/>
    <w:rsid w:val="000616DA"/>
    <w:rsid w:val="00062500"/>
    <w:rsid w:val="00073BFC"/>
    <w:rsid w:val="000A011D"/>
    <w:rsid w:val="000A337C"/>
    <w:rsid w:val="000A411F"/>
    <w:rsid w:val="000C46DE"/>
    <w:rsid w:val="000D13D3"/>
    <w:rsid w:val="000F07A8"/>
    <w:rsid w:val="000F3219"/>
    <w:rsid w:val="001025A4"/>
    <w:rsid w:val="00102800"/>
    <w:rsid w:val="001346A7"/>
    <w:rsid w:val="001357B7"/>
    <w:rsid w:val="0015270E"/>
    <w:rsid w:val="001550FE"/>
    <w:rsid w:val="00155C13"/>
    <w:rsid w:val="00166E60"/>
    <w:rsid w:val="00167976"/>
    <w:rsid w:val="00180B32"/>
    <w:rsid w:val="001933BE"/>
    <w:rsid w:val="00193B85"/>
    <w:rsid w:val="00194B01"/>
    <w:rsid w:val="001958E3"/>
    <w:rsid w:val="001A096D"/>
    <w:rsid w:val="001A125C"/>
    <w:rsid w:val="001A34D8"/>
    <w:rsid w:val="001A5A78"/>
    <w:rsid w:val="001B046D"/>
    <w:rsid w:val="001B09F7"/>
    <w:rsid w:val="001B2503"/>
    <w:rsid w:val="001B5324"/>
    <w:rsid w:val="001C0123"/>
    <w:rsid w:val="001C7D5C"/>
    <w:rsid w:val="001D117F"/>
    <w:rsid w:val="001D379E"/>
    <w:rsid w:val="001E0CB4"/>
    <w:rsid w:val="001E416F"/>
    <w:rsid w:val="001E5765"/>
    <w:rsid w:val="001F4473"/>
    <w:rsid w:val="001F72B5"/>
    <w:rsid w:val="00220A9C"/>
    <w:rsid w:val="00221CF6"/>
    <w:rsid w:val="002222AC"/>
    <w:rsid w:val="002241C3"/>
    <w:rsid w:val="002346B4"/>
    <w:rsid w:val="002455F8"/>
    <w:rsid w:val="00246606"/>
    <w:rsid w:val="00253E21"/>
    <w:rsid w:val="00271EF7"/>
    <w:rsid w:val="002848D8"/>
    <w:rsid w:val="002930A8"/>
    <w:rsid w:val="002960A9"/>
    <w:rsid w:val="002C7987"/>
    <w:rsid w:val="002D640D"/>
    <w:rsid w:val="00322E58"/>
    <w:rsid w:val="00330F6A"/>
    <w:rsid w:val="0033324D"/>
    <w:rsid w:val="00334F67"/>
    <w:rsid w:val="003402F4"/>
    <w:rsid w:val="00347C47"/>
    <w:rsid w:val="003550AC"/>
    <w:rsid w:val="00357702"/>
    <w:rsid w:val="003601E9"/>
    <w:rsid w:val="00365FD3"/>
    <w:rsid w:val="003705B1"/>
    <w:rsid w:val="00375494"/>
    <w:rsid w:val="003864D3"/>
    <w:rsid w:val="00390B8A"/>
    <w:rsid w:val="003A39B7"/>
    <w:rsid w:val="003A75AB"/>
    <w:rsid w:val="003B70D1"/>
    <w:rsid w:val="003F03C9"/>
    <w:rsid w:val="00400E4C"/>
    <w:rsid w:val="00405B4E"/>
    <w:rsid w:val="004072A3"/>
    <w:rsid w:val="00411DEE"/>
    <w:rsid w:val="00421C61"/>
    <w:rsid w:val="004262C5"/>
    <w:rsid w:val="004330B4"/>
    <w:rsid w:val="00445823"/>
    <w:rsid w:val="00462052"/>
    <w:rsid w:val="00480252"/>
    <w:rsid w:val="004916B6"/>
    <w:rsid w:val="00496B7D"/>
    <w:rsid w:val="004A0BE8"/>
    <w:rsid w:val="004A3B32"/>
    <w:rsid w:val="004B47DC"/>
    <w:rsid w:val="004B60A0"/>
    <w:rsid w:val="004C7BBF"/>
    <w:rsid w:val="004D3C48"/>
    <w:rsid w:val="004D3EEE"/>
    <w:rsid w:val="004E6DD9"/>
    <w:rsid w:val="00500303"/>
    <w:rsid w:val="00500F10"/>
    <w:rsid w:val="005034F9"/>
    <w:rsid w:val="005057F0"/>
    <w:rsid w:val="005252FE"/>
    <w:rsid w:val="00525341"/>
    <w:rsid w:val="00530ED2"/>
    <w:rsid w:val="0054415A"/>
    <w:rsid w:val="005536DD"/>
    <w:rsid w:val="00562187"/>
    <w:rsid w:val="0056333E"/>
    <w:rsid w:val="00564CCA"/>
    <w:rsid w:val="005717B2"/>
    <w:rsid w:val="00580E7B"/>
    <w:rsid w:val="00590406"/>
    <w:rsid w:val="005A62AA"/>
    <w:rsid w:val="005C530E"/>
    <w:rsid w:val="005D0231"/>
    <w:rsid w:val="005D4B28"/>
    <w:rsid w:val="005D4EE0"/>
    <w:rsid w:val="005F2268"/>
    <w:rsid w:val="005F387D"/>
    <w:rsid w:val="005F54E6"/>
    <w:rsid w:val="006005FD"/>
    <w:rsid w:val="00605894"/>
    <w:rsid w:val="00616161"/>
    <w:rsid w:val="006408A9"/>
    <w:rsid w:val="00646464"/>
    <w:rsid w:val="0064660E"/>
    <w:rsid w:val="006573AF"/>
    <w:rsid w:val="00664EAF"/>
    <w:rsid w:val="006762D8"/>
    <w:rsid w:val="006820C9"/>
    <w:rsid w:val="00683F6D"/>
    <w:rsid w:val="006918F4"/>
    <w:rsid w:val="006A0DB7"/>
    <w:rsid w:val="006A1EAF"/>
    <w:rsid w:val="006A3724"/>
    <w:rsid w:val="006C0214"/>
    <w:rsid w:val="006C48F0"/>
    <w:rsid w:val="006E0D3E"/>
    <w:rsid w:val="006F5A96"/>
    <w:rsid w:val="006F6578"/>
    <w:rsid w:val="007240DA"/>
    <w:rsid w:val="0073486D"/>
    <w:rsid w:val="00737675"/>
    <w:rsid w:val="007468F3"/>
    <w:rsid w:val="007509A6"/>
    <w:rsid w:val="007527AC"/>
    <w:rsid w:val="00756817"/>
    <w:rsid w:val="00760E29"/>
    <w:rsid w:val="007653EB"/>
    <w:rsid w:val="00783A3F"/>
    <w:rsid w:val="0078786E"/>
    <w:rsid w:val="007B4FEB"/>
    <w:rsid w:val="007B6BB9"/>
    <w:rsid w:val="007D68BE"/>
    <w:rsid w:val="007E39F0"/>
    <w:rsid w:val="0080070B"/>
    <w:rsid w:val="00806161"/>
    <w:rsid w:val="008125F6"/>
    <w:rsid w:val="00812643"/>
    <w:rsid w:val="00812AC1"/>
    <w:rsid w:val="00812EDD"/>
    <w:rsid w:val="00813CC5"/>
    <w:rsid w:val="008276F8"/>
    <w:rsid w:val="00844CD2"/>
    <w:rsid w:val="00845CC1"/>
    <w:rsid w:val="0085774B"/>
    <w:rsid w:val="00860ED7"/>
    <w:rsid w:val="008722C2"/>
    <w:rsid w:val="008742A0"/>
    <w:rsid w:val="0089012F"/>
    <w:rsid w:val="008A065C"/>
    <w:rsid w:val="008C41BA"/>
    <w:rsid w:val="008C6C70"/>
    <w:rsid w:val="008D3C86"/>
    <w:rsid w:val="008D4E28"/>
    <w:rsid w:val="008D5173"/>
    <w:rsid w:val="008E7D33"/>
    <w:rsid w:val="008F4B4F"/>
    <w:rsid w:val="009140E5"/>
    <w:rsid w:val="009242FA"/>
    <w:rsid w:val="009318E3"/>
    <w:rsid w:val="009321ED"/>
    <w:rsid w:val="00934F60"/>
    <w:rsid w:val="0094525F"/>
    <w:rsid w:val="009462F4"/>
    <w:rsid w:val="009610ED"/>
    <w:rsid w:val="00962B01"/>
    <w:rsid w:val="00981784"/>
    <w:rsid w:val="00982AB0"/>
    <w:rsid w:val="00995E37"/>
    <w:rsid w:val="009B4014"/>
    <w:rsid w:val="009C03BE"/>
    <w:rsid w:val="009D07EE"/>
    <w:rsid w:val="009D3AB7"/>
    <w:rsid w:val="009D72B3"/>
    <w:rsid w:val="009F3E85"/>
    <w:rsid w:val="00A00EE2"/>
    <w:rsid w:val="00A0325A"/>
    <w:rsid w:val="00A05F1B"/>
    <w:rsid w:val="00A16322"/>
    <w:rsid w:val="00A17526"/>
    <w:rsid w:val="00A20776"/>
    <w:rsid w:val="00A26F1F"/>
    <w:rsid w:val="00A33FE5"/>
    <w:rsid w:val="00A45700"/>
    <w:rsid w:val="00A50441"/>
    <w:rsid w:val="00A66147"/>
    <w:rsid w:val="00A73EAF"/>
    <w:rsid w:val="00A75EC3"/>
    <w:rsid w:val="00A852A2"/>
    <w:rsid w:val="00A85826"/>
    <w:rsid w:val="00A86024"/>
    <w:rsid w:val="00A877BA"/>
    <w:rsid w:val="00A9189A"/>
    <w:rsid w:val="00A93434"/>
    <w:rsid w:val="00AB321D"/>
    <w:rsid w:val="00AB628D"/>
    <w:rsid w:val="00AB662E"/>
    <w:rsid w:val="00AC1EAA"/>
    <w:rsid w:val="00AE0F1E"/>
    <w:rsid w:val="00AE41C5"/>
    <w:rsid w:val="00B14108"/>
    <w:rsid w:val="00B16205"/>
    <w:rsid w:val="00B260C7"/>
    <w:rsid w:val="00B3124C"/>
    <w:rsid w:val="00B31DAF"/>
    <w:rsid w:val="00B34A8A"/>
    <w:rsid w:val="00B372D0"/>
    <w:rsid w:val="00B55999"/>
    <w:rsid w:val="00B62A61"/>
    <w:rsid w:val="00B74D5C"/>
    <w:rsid w:val="00B81442"/>
    <w:rsid w:val="00B828DA"/>
    <w:rsid w:val="00B87433"/>
    <w:rsid w:val="00B90F26"/>
    <w:rsid w:val="00B949AB"/>
    <w:rsid w:val="00BA68EC"/>
    <w:rsid w:val="00BB39FE"/>
    <w:rsid w:val="00BB7CAC"/>
    <w:rsid w:val="00BC5DC3"/>
    <w:rsid w:val="00BC616C"/>
    <w:rsid w:val="00BD0564"/>
    <w:rsid w:val="00BF0C58"/>
    <w:rsid w:val="00BF40AF"/>
    <w:rsid w:val="00BF7D40"/>
    <w:rsid w:val="00C009C3"/>
    <w:rsid w:val="00C033EE"/>
    <w:rsid w:val="00C038DD"/>
    <w:rsid w:val="00C06F60"/>
    <w:rsid w:val="00C24137"/>
    <w:rsid w:val="00C25DBC"/>
    <w:rsid w:val="00C30E22"/>
    <w:rsid w:val="00C31587"/>
    <w:rsid w:val="00C40284"/>
    <w:rsid w:val="00C40BAD"/>
    <w:rsid w:val="00C40DC9"/>
    <w:rsid w:val="00C456A8"/>
    <w:rsid w:val="00C51B6E"/>
    <w:rsid w:val="00C532FE"/>
    <w:rsid w:val="00C615DC"/>
    <w:rsid w:val="00C71E98"/>
    <w:rsid w:val="00C776C5"/>
    <w:rsid w:val="00C84039"/>
    <w:rsid w:val="00C87FB9"/>
    <w:rsid w:val="00C91726"/>
    <w:rsid w:val="00C93BA0"/>
    <w:rsid w:val="00CA1B46"/>
    <w:rsid w:val="00CB4BD6"/>
    <w:rsid w:val="00CC5E26"/>
    <w:rsid w:val="00CD2659"/>
    <w:rsid w:val="00CE3529"/>
    <w:rsid w:val="00CF09F0"/>
    <w:rsid w:val="00D00E2D"/>
    <w:rsid w:val="00D172C4"/>
    <w:rsid w:val="00D23E2C"/>
    <w:rsid w:val="00D241BB"/>
    <w:rsid w:val="00D26516"/>
    <w:rsid w:val="00D36006"/>
    <w:rsid w:val="00D36526"/>
    <w:rsid w:val="00D52342"/>
    <w:rsid w:val="00D64994"/>
    <w:rsid w:val="00D65DBE"/>
    <w:rsid w:val="00D667D4"/>
    <w:rsid w:val="00D8352A"/>
    <w:rsid w:val="00D83962"/>
    <w:rsid w:val="00D9088E"/>
    <w:rsid w:val="00D96639"/>
    <w:rsid w:val="00D96FF3"/>
    <w:rsid w:val="00DC0789"/>
    <w:rsid w:val="00DC733A"/>
    <w:rsid w:val="00DD3C1F"/>
    <w:rsid w:val="00DF1EB6"/>
    <w:rsid w:val="00E043AC"/>
    <w:rsid w:val="00E07AC9"/>
    <w:rsid w:val="00E246B9"/>
    <w:rsid w:val="00E33E69"/>
    <w:rsid w:val="00E70AAD"/>
    <w:rsid w:val="00E7180A"/>
    <w:rsid w:val="00E730C9"/>
    <w:rsid w:val="00E87AA3"/>
    <w:rsid w:val="00E957D6"/>
    <w:rsid w:val="00E97245"/>
    <w:rsid w:val="00EA1884"/>
    <w:rsid w:val="00EA4535"/>
    <w:rsid w:val="00EB33B2"/>
    <w:rsid w:val="00EB3541"/>
    <w:rsid w:val="00EC18AE"/>
    <w:rsid w:val="00EC1D48"/>
    <w:rsid w:val="00EC2819"/>
    <w:rsid w:val="00EC431D"/>
    <w:rsid w:val="00EE396E"/>
    <w:rsid w:val="00EF1B32"/>
    <w:rsid w:val="00EF2558"/>
    <w:rsid w:val="00EF5D55"/>
    <w:rsid w:val="00F01D54"/>
    <w:rsid w:val="00F037D2"/>
    <w:rsid w:val="00F064C4"/>
    <w:rsid w:val="00F23249"/>
    <w:rsid w:val="00F34E17"/>
    <w:rsid w:val="00F63CE3"/>
    <w:rsid w:val="00F63DC7"/>
    <w:rsid w:val="00F73280"/>
    <w:rsid w:val="00F7627B"/>
    <w:rsid w:val="00F9005F"/>
    <w:rsid w:val="00F92B64"/>
    <w:rsid w:val="00F94281"/>
    <w:rsid w:val="00F97D8A"/>
    <w:rsid w:val="00FA0BAE"/>
    <w:rsid w:val="00FA77AF"/>
    <w:rsid w:val="00FB2551"/>
    <w:rsid w:val="00FB4463"/>
    <w:rsid w:val="00FE4E8A"/>
    <w:rsid w:val="02BD2E6B"/>
    <w:rsid w:val="3F530128"/>
    <w:rsid w:val="597E0A08"/>
    <w:rsid w:val="5CF56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BB1F"/>
  <w15:docId w15:val="{B34FA35A-4113-4A94-BD2D-065058AE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eastAsia="en-GB" w:bidi="en-GB"/>
    </w:rPr>
  </w:style>
  <w:style w:type="paragraph" w:styleId="Heading1">
    <w:name w:val="heading 1"/>
    <w:basedOn w:val="Normal"/>
    <w:uiPriority w:val="9"/>
    <w:qFormat/>
    <w:pPr>
      <w:ind w:left="8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66" w:hanging="720"/>
      <w:jc w:val="both"/>
    </w:pPr>
  </w:style>
  <w:style w:type="paragraph" w:customStyle="1" w:styleId="TableParagraph">
    <w:name w:val="Table Paragraph"/>
    <w:basedOn w:val="Normal"/>
    <w:uiPriority w:val="1"/>
    <w:qFormat/>
    <w:pPr>
      <w:spacing w:before="135"/>
      <w:ind w:left="120"/>
    </w:pPr>
  </w:style>
  <w:style w:type="paragraph" w:styleId="Header">
    <w:name w:val="header"/>
    <w:basedOn w:val="Normal"/>
    <w:link w:val="HeaderChar"/>
    <w:uiPriority w:val="99"/>
    <w:unhideWhenUsed/>
    <w:rsid w:val="00246606"/>
    <w:pPr>
      <w:tabs>
        <w:tab w:val="center" w:pos="4513"/>
        <w:tab w:val="right" w:pos="9026"/>
      </w:tabs>
    </w:pPr>
  </w:style>
  <w:style w:type="character" w:customStyle="1" w:styleId="HeaderChar">
    <w:name w:val="Header Char"/>
    <w:basedOn w:val="DefaultParagraphFont"/>
    <w:link w:val="Header"/>
    <w:uiPriority w:val="99"/>
    <w:rsid w:val="00246606"/>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246606"/>
    <w:pPr>
      <w:tabs>
        <w:tab w:val="center" w:pos="4513"/>
        <w:tab w:val="right" w:pos="9026"/>
      </w:tabs>
    </w:pPr>
  </w:style>
  <w:style w:type="character" w:customStyle="1" w:styleId="FooterChar">
    <w:name w:val="Footer Char"/>
    <w:basedOn w:val="DefaultParagraphFont"/>
    <w:link w:val="Footer"/>
    <w:uiPriority w:val="99"/>
    <w:rsid w:val="00246606"/>
    <w:rPr>
      <w:rFonts w:ascii="Century Gothic" w:eastAsia="Century Gothic" w:hAnsi="Century Gothic" w:cs="Century Gothic"/>
      <w:lang w:val="en-GB" w:eastAsia="en-GB" w:bidi="en-GB"/>
    </w:rPr>
  </w:style>
  <w:style w:type="paragraph" w:styleId="BalloonText">
    <w:name w:val="Balloon Text"/>
    <w:basedOn w:val="Normal"/>
    <w:link w:val="BalloonTextChar"/>
    <w:uiPriority w:val="99"/>
    <w:semiHidden/>
    <w:unhideWhenUsed/>
    <w:rsid w:val="00CE3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529"/>
    <w:rPr>
      <w:rFonts w:ascii="Segoe UI" w:eastAsia="Century Gothic" w:hAnsi="Segoe UI" w:cs="Segoe UI"/>
      <w:sz w:val="18"/>
      <w:szCs w:val="18"/>
      <w:lang w:val="en-GB" w:eastAsia="en-GB" w:bidi="en-GB"/>
    </w:rPr>
  </w:style>
  <w:style w:type="character" w:styleId="CommentReference">
    <w:name w:val="annotation reference"/>
    <w:basedOn w:val="DefaultParagraphFont"/>
    <w:uiPriority w:val="99"/>
    <w:semiHidden/>
    <w:unhideWhenUsed/>
    <w:rsid w:val="00480252"/>
    <w:rPr>
      <w:sz w:val="16"/>
      <w:szCs w:val="16"/>
    </w:rPr>
  </w:style>
  <w:style w:type="paragraph" w:styleId="CommentText">
    <w:name w:val="annotation text"/>
    <w:basedOn w:val="Normal"/>
    <w:link w:val="CommentTextChar"/>
    <w:uiPriority w:val="99"/>
    <w:unhideWhenUsed/>
    <w:rsid w:val="00480252"/>
    <w:rPr>
      <w:sz w:val="20"/>
      <w:szCs w:val="20"/>
    </w:rPr>
  </w:style>
  <w:style w:type="character" w:customStyle="1" w:styleId="CommentTextChar">
    <w:name w:val="Comment Text Char"/>
    <w:basedOn w:val="DefaultParagraphFont"/>
    <w:link w:val="CommentText"/>
    <w:uiPriority w:val="99"/>
    <w:rsid w:val="00480252"/>
    <w:rPr>
      <w:rFonts w:ascii="Century Gothic" w:eastAsia="Century Gothic" w:hAnsi="Century Gothic" w:cs="Century Gothic"/>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80252"/>
    <w:rPr>
      <w:b/>
      <w:bCs/>
    </w:rPr>
  </w:style>
  <w:style w:type="character" w:customStyle="1" w:styleId="CommentSubjectChar">
    <w:name w:val="Comment Subject Char"/>
    <w:basedOn w:val="CommentTextChar"/>
    <w:link w:val="CommentSubject"/>
    <w:uiPriority w:val="99"/>
    <w:semiHidden/>
    <w:rsid w:val="00480252"/>
    <w:rPr>
      <w:rFonts w:ascii="Century Gothic" w:eastAsia="Century Gothic" w:hAnsi="Century Gothic" w:cs="Century Gothic"/>
      <w:b/>
      <w:bCs/>
      <w:sz w:val="20"/>
      <w:szCs w:val="20"/>
      <w:lang w:val="en-GB" w:eastAsia="en-GB" w:bidi="en-GB"/>
    </w:rPr>
  </w:style>
  <w:style w:type="paragraph" w:styleId="FootnoteText">
    <w:name w:val="footnote text"/>
    <w:basedOn w:val="Normal"/>
    <w:link w:val="FootnoteTextChar"/>
    <w:uiPriority w:val="99"/>
    <w:semiHidden/>
    <w:unhideWhenUsed/>
    <w:rsid w:val="003A75AB"/>
    <w:rPr>
      <w:sz w:val="20"/>
      <w:szCs w:val="20"/>
    </w:rPr>
  </w:style>
  <w:style w:type="character" w:customStyle="1" w:styleId="FootnoteTextChar">
    <w:name w:val="Footnote Text Char"/>
    <w:basedOn w:val="DefaultParagraphFont"/>
    <w:link w:val="FootnoteText"/>
    <w:uiPriority w:val="99"/>
    <w:semiHidden/>
    <w:rsid w:val="003A75AB"/>
    <w:rPr>
      <w:rFonts w:ascii="Century Gothic" w:eastAsia="Century Gothic" w:hAnsi="Century Gothic" w:cs="Century Gothic"/>
      <w:sz w:val="20"/>
      <w:szCs w:val="20"/>
      <w:lang w:val="en-GB" w:eastAsia="en-GB" w:bidi="en-GB"/>
    </w:rPr>
  </w:style>
  <w:style w:type="character" w:styleId="FootnoteReference">
    <w:name w:val="footnote reference"/>
    <w:basedOn w:val="DefaultParagraphFont"/>
    <w:uiPriority w:val="99"/>
    <w:semiHidden/>
    <w:unhideWhenUsed/>
    <w:rsid w:val="003A75AB"/>
    <w:rPr>
      <w:vertAlign w:val="superscript"/>
    </w:rPr>
  </w:style>
  <w:style w:type="paragraph" w:styleId="ListBullet">
    <w:name w:val="List Bullet"/>
    <w:basedOn w:val="Normal"/>
    <w:uiPriority w:val="99"/>
    <w:semiHidden/>
    <w:unhideWhenUsed/>
    <w:rsid w:val="004B47DC"/>
    <w:pPr>
      <w:numPr>
        <w:numId w:val="7"/>
      </w:numPr>
      <w:contextualSpacing/>
    </w:pPr>
  </w:style>
  <w:style w:type="paragraph" w:styleId="Revision">
    <w:name w:val="Revision"/>
    <w:hidden/>
    <w:uiPriority w:val="99"/>
    <w:semiHidden/>
    <w:rsid w:val="001025A4"/>
    <w:pPr>
      <w:widowControl/>
      <w:autoSpaceDE/>
      <w:autoSpaceDN/>
    </w:pPr>
    <w:rPr>
      <w:rFonts w:ascii="Century Gothic" w:eastAsia="Century Gothic" w:hAnsi="Century Gothic" w:cs="Century Gothic"/>
      <w:lang w:val="en-GB" w:eastAsia="en-GB" w:bidi="en-GB"/>
    </w:rPr>
  </w:style>
  <w:style w:type="character" w:customStyle="1" w:styleId="ui-provider">
    <w:name w:val="ui-provider"/>
    <w:basedOn w:val="DefaultParagraphFont"/>
    <w:rsid w:val="007527AC"/>
  </w:style>
  <w:style w:type="character" w:customStyle="1" w:styleId="normaltextrun">
    <w:name w:val="normaltextrun"/>
    <w:basedOn w:val="DefaultParagraphFont"/>
    <w:rsid w:val="0037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38914">
      <w:bodyDiv w:val="1"/>
      <w:marLeft w:val="0"/>
      <w:marRight w:val="0"/>
      <w:marTop w:val="0"/>
      <w:marBottom w:val="0"/>
      <w:divBdr>
        <w:top w:val="none" w:sz="0" w:space="0" w:color="auto"/>
        <w:left w:val="none" w:sz="0" w:space="0" w:color="auto"/>
        <w:bottom w:val="none" w:sz="0" w:space="0" w:color="auto"/>
        <w:right w:val="none" w:sz="0" w:space="0" w:color="auto"/>
      </w:divBdr>
    </w:div>
    <w:div w:id="58958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1EE74BA868B48B2675960B23E3BF5" ma:contentTypeVersion="12" ma:contentTypeDescription="Create a new document." ma:contentTypeScope="" ma:versionID="3f6c9f54c6a1746a67514278972cfb93">
  <xsd:schema xmlns:xsd="http://www.w3.org/2001/XMLSchema" xmlns:xs="http://www.w3.org/2001/XMLSchema" xmlns:p="http://schemas.microsoft.com/office/2006/metadata/properties" xmlns:ns2="88eea2b8-7b6b-4320-a2d4-c4f1f8632c99" xmlns:ns3="2c895cb1-cc58-483e-86ff-96e45a974e3b" targetNamespace="http://schemas.microsoft.com/office/2006/metadata/properties" ma:root="true" ma:fieldsID="82390be5e49db8f1e8d848bd67f76182" ns2:_="" ns3:_="">
    <xsd:import namespace="88eea2b8-7b6b-4320-a2d4-c4f1f8632c99"/>
    <xsd:import namespace="2c895cb1-cc58-483e-86ff-96e45a974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ea2b8-7b6b-4320-a2d4-c4f1f86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6f7b00-301e-4c89-b186-a05e1e58f3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95cb1-cc58-483e-86ff-96e45a974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1308d8-55fe-4a89-a2db-d13907434f68}" ma:internalName="TaxCatchAll" ma:showField="CatchAllData" ma:web="2c895cb1-cc58-483e-86ff-96e45a974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eea2b8-7b6b-4320-a2d4-c4f1f8632c99">
      <Terms xmlns="http://schemas.microsoft.com/office/infopath/2007/PartnerControls"/>
    </lcf76f155ced4ddcb4097134ff3c332f>
    <TaxCatchAll xmlns="2c895cb1-cc58-483e-86ff-96e45a974e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F4695-B24C-48BB-BC28-F77018C1F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ea2b8-7b6b-4320-a2d4-c4f1f8632c99"/>
    <ds:schemaRef ds:uri="2c895cb1-cc58-483e-86ff-96e45a974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E1DBC-2471-4725-8278-A65340FF2879}">
  <ds:schemaRefs>
    <ds:schemaRef ds:uri="http://schemas.microsoft.com/office/2006/metadata/properties"/>
    <ds:schemaRef ds:uri="88eea2b8-7b6b-4320-a2d4-c4f1f8632c99"/>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2c895cb1-cc58-483e-86ff-96e45a974e3b"/>
    <ds:schemaRef ds:uri="http://www.w3.org/XML/1998/namespace"/>
  </ds:schemaRefs>
</ds:datastoreItem>
</file>

<file path=customXml/itemProps3.xml><?xml version="1.0" encoding="utf-8"?>
<ds:datastoreItem xmlns:ds="http://schemas.openxmlformats.org/officeDocument/2006/customXml" ds:itemID="{563A0A6D-8CBF-41EE-B8F2-BEFD20D4186F}">
  <ds:schemaRefs>
    <ds:schemaRef ds:uri="http://schemas.openxmlformats.org/officeDocument/2006/bibliography"/>
  </ds:schemaRefs>
</ds:datastoreItem>
</file>

<file path=customXml/itemProps4.xml><?xml version="1.0" encoding="utf-8"?>
<ds:datastoreItem xmlns:ds="http://schemas.openxmlformats.org/officeDocument/2006/customXml" ds:itemID="{2DD4E50D-FD5B-4768-91AC-B1D8137E6885}">
  <ds:schemaRefs>
    <ds:schemaRef ds:uri="http://schemas.microsoft.com/sharepoint/v3/contenttype/forms"/>
  </ds:schemaRefs>
</ds:datastoreItem>
</file>

<file path=docMetadata/LabelInfo.xml><?xml version="1.0" encoding="utf-8"?>
<clbl:labelList xmlns:clbl="http://schemas.microsoft.com/office/2020/mipLabelMetadata">
  <clbl:label id="{9d8d5eb8-2d34-4728-91b4-c69a1e01a91b}" enabled="1" method="Privileged" siteId="{4b4cca9c-edaf-42f3-8e21-9070c5d9d7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2962</Words>
  <Characters>16888</Characters>
  <Application>Microsoft Office Word</Application>
  <DocSecurity>0</DocSecurity>
  <Lines>140</Lines>
  <Paragraphs>39</Paragraphs>
  <ScaleCrop>false</ScaleCrop>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whitelc</dc:creator>
  <cp:keywords/>
  <cp:lastModifiedBy>Susan Woodlands</cp:lastModifiedBy>
  <cp:revision>2</cp:revision>
  <cp:lastPrinted>2023-05-11T01:45:00Z</cp:lastPrinted>
  <dcterms:created xsi:type="dcterms:W3CDTF">2023-05-25T16:40:00Z</dcterms:created>
  <dcterms:modified xsi:type="dcterms:W3CDTF">2023-05-25T16:40:00Z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for Office 365</vt:lpwstr>
  </property>
  <property fmtid="{D5CDD505-2E9C-101B-9397-08002B2CF9AE}" pid="4" name="LastSaved">
    <vt:filetime>2019-12-03T00:00:00Z</vt:filetime>
  </property>
  <property fmtid="{D5CDD505-2E9C-101B-9397-08002B2CF9AE}" pid="5" name="ContentTypeId">
    <vt:lpwstr>0x0101006751EE74BA868B48B2675960B23E3BF5</vt:lpwstr>
  </property>
  <property fmtid="{D5CDD505-2E9C-101B-9397-08002B2CF9AE}" pid="6" name="MSIP_Label_ea60d57e-af5b-4752-ac57-3e4f28ca11dc_Enabled">
    <vt:lpwstr>true</vt:lpwstr>
  </property>
  <property fmtid="{D5CDD505-2E9C-101B-9397-08002B2CF9AE}" pid="7" name="MSIP_Label_ea60d57e-af5b-4752-ac57-3e4f28ca11dc_SetDate">
    <vt:lpwstr>2022-02-09T11:54:51Z</vt:lpwstr>
  </property>
  <property fmtid="{D5CDD505-2E9C-101B-9397-08002B2CF9AE}" pid="8" name="MSIP_Label_ea60d57e-af5b-4752-ac57-3e4f28ca11dc_Method">
    <vt:lpwstr>Standard</vt:lpwstr>
  </property>
  <property fmtid="{D5CDD505-2E9C-101B-9397-08002B2CF9AE}" pid="9" name="MSIP_Label_ea60d57e-af5b-4752-ac57-3e4f28ca11dc_Name">
    <vt:lpwstr>ea60d57e-af5b-4752-ac57-3e4f28ca11dc</vt:lpwstr>
  </property>
  <property fmtid="{D5CDD505-2E9C-101B-9397-08002B2CF9AE}" pid="10" name="MSIP_Label_ea60d57e-af5b-4752-ac57-3e4f28ca11dc_SiteId">
    <vt:lpwstr>36da45f1-dd2c-4d1f-af13-5abe46b99921</vt:lpwstr>
  </property>
  <property fmtid="{D5CDD505-2E9C-101B-9397-08002B2CF9AE}" pid="11" name="MSIP_Label_ea60d57e-af5b-4752-ac57-3e4f28ca11dc_ActionId">
    <vt:lpwstr>365142b8-1f0c-4461-beac-467ae23a5b8f</vt:lpwstr>
  </property>
  <property fmtid="{D5CDD505-2E9C-101B-9397-08002B2CF9AE}" pid="12" name="MSIP_Label_ea60d57e-af5b-4752-ac57-3e4f28ca11dc_ContentBits">
    <vt:lpwstr>0</vt:lpwstr>
  </property>
  <property fmtid="{D5CDD505-2E9C-101B-9397-08002B2CF9AE}" pid="13" name="MSIP_Label_9d8d5eb8-2d34-4728-91b4-c69a1e01a91b_Enabled">
    <vt:lpwstr>true</vt:lpwstr>
  </property>
  <property fmtid="{D5CDD505-2E9C-101B-9397-08002B2CF9AE}" pid="14" name="MSIP_Label_9d8d5eb8-2d34-4728-91b4-c69a1e01a91b_SetDate">
    <vt:lpwstr>2022-05-12T16:44:12Z</vt:lpwstr>
  </property>
  <property fmtid="{D5CDD505-2E9C-101B-9397-08002B2CF9AE}" pid="15" name="MSIP_Label_9d8d5eb8-2d34-4728-91b4-c69a1e01a91b_Method">
    <vt:lpwstr>Privileged</vt:lpwstr>
  </property>
  <property fmtid="{D5CDD505-2E9C-101B-9397-08002B2CF9AE}" pid="16" name="MSIP_Label_9d8d5eb8-2d34-4728-91b4-c69a1e01a91b_Name">
    <vt:lpwstr>C1 Public Content</vt:lpwstr>
  </property>
  <property fmtid="{D5CDD505-2E9C-101B-9397-08002B2CF9AE}" pid="17" name="MSIP_Label_9d8d5eb8-2d34-4728-91b4-c69a1e01a91b_SiteId">
    <vt:lpwstr>4b4cca9c-edaf-42f3-8e21-9070c5d9d76b</vt:lpwstr>
  </property>
  <property fmtid="{D5CDD505-2E9C-101B-9397-08002B2CF9AE}" pid="18" name="MSIP_Label_9d8d5eb8-2d34-4728-91b4-c69a1e01a91b_ActionId">
    <vt:lpwstr>ca0f1db4-e3d4-4a37-8a13-854cc642fa87</vt:lpwstr>
  </property>
  <property fmtid="{D5CDD505-2E9C-101B-9397-08002B2CF9AE}" pid="19" name="MSIP_Label_9d8d5eb8-2d34-4728-91b4-c69a1e01a91b_ContentBits">
    <vt:lpwstr>0</vt:lpwstr>
  </property>
  <property fmtid="{D5CDD505-2E9C-101B-9397-08002B2CF9AE}" pid="20" name="MediaServiceImageTags">
    <vt:lpwstr/>
  </property>
</Properties>
</file>